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9140B9">
        <w:rPr>
          <w:rFonts w:cs="Arial"/>
          <w:b/>
          <w:bCs/>
        </w:rPr>
        <w:t>29</w:t>
      </w:r>
      <w:r w:rsidR="009140B9">
        <w:rPr>
          <w:rFonts w:cs="Arial"/>
          <w:b/>
          <w:bCs/>
          <w:vertAlign w:val="superscript"/>
        </w:rPr>
        <w:t xml:space="preserve"> </w:t>
      </w:r>
      <w:r w:rsidR="009140B9">
        <w:rPr>
          <w:rFonts w:cs="Arial"/>
          <w:b/>
          <w:bCs/>
        </w:rPr>
        <w:t xml:space="preserve">June </w:t>
      </w:r>
      <w:r w:rsidR="00DA1441">
        <w:rPr>
          <w:rFonts w:cs="Arial"/>
          <w:b/>
          <w:bCs/>
        </w:rPr>
        <w:t>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C61E57">
        <w:rPr>
          <w:rFonts w:cs="Arial"/>
          <w:b/>
          <w:bCs/>
        </w:rPr>
        <w:t>Investigation</w:t>
      </w:r>
      <w:r w:rsidR="00262002">
        <w:rPr>
          <w:rFonts w:cs="Arial"/>
          <w:b/>
          <w:bCs/>
        </w:rPr>
        <w:t xml:space="preserve"> </w:t>
      </w:r>
      <w:r w:rsidR="00C61E57">
        <w:rPr>
          <w:rFonts w:cs="Arial"/>
          <w:b/>
          <w:bCs/>
        </w:rPr>
        <w:t xml:space="preserve">Team’s </w:t>
      </w:r>
      <w:r w:rsidR="00262002">
        <w:rPr>
          <w:rFonts w:cs="Arial"/>
          <w:b/>
          <w:bCs/>
        </w:rPr>
        <w:t>Performance a</w:t>
      </w:r>
      <w:r w:rsidR="009140B9">
        <w:rPr>
          <w:rFonts w:cs="Arial"/>
          <w:b/>
          <w:bCs/>
        </w:rPr>
        <w:t>nd Activity Briefing</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A512E5"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   </w:t>
      </w:r>
      <w:bookmarkStart w:id="0" w:name="_GoBack"/>
      <w:bookmarkEnd w:id="0"/>
      <w:r w:rsidR="00DA1441">
        <w:rPr>
          <w:rFonts w:cs="Arial"/>
        </w:rPr>
        <w:t xml:space="preserve">To </w:t>
      </w:r>
      <w:r w:rsidR="00AF136A">
        <w:rPr>
          <w:rFonts w:cs="Arial"/>
        </w:rPr>
        <w:t>appr</w:t>
      </w:r>
      <w:r w:rsidR="00832739">
        <w:rPr>
          <w:rFonts w:cs="Arial"/>
        </w:rPr>
        <w:t>a</w:t>
      </w:r>
      <w:r w:rsidR="00AF136A">
        <w:rPr>
          <w:rFonts w:cs="Arial"/>
        </w:rPr>
        <w:t>ise</w:t>
      </w:r>
      <w:r w:rsidR="00DA1441">
        <w:rPr>
          <w:rFonts w:cs="Arial"/>
        </w:rPr>
        <w:t xml:space="preserve"> Members </w:t>
      </w:r>
      <w:r w:rsidR="00AF136A">
        <w:rPr>
          <w:rFonts w:cs="Arial"/>
        </w:rPr>
        <w:t xml:space="preserve">of </w:t>
      </w:r>
      <w:r w:rsidR="00DA1441">
        <w:rPr>
          <w:rFonts w:cs="Arial"/>
        </w:rPr>
        <w:t xml:space="preserve">the activity </w:t>
      </w:r>
      <w:r w:rsidR="00514C63">
        <w:rPr>
          <w:rFonts w:cs="Arial"/>
        </w:rPr>
        <w:t xml:space="preserve">and performance </w:t>
      </w:r>
      <w:r w:rsidR="00DA1441">
        <w:rPr>
          <w:rFonts w:cs="Arial"/>
        </w:rPr>
        <w:t xml:space="preserve">of the </w:t>
      </w:r>
      <w:r w:rsidR="00026745">
        <w:rPr>
          <w:rFonts w:cs="Arial"/>
        </w:rPr>
        <w:t xml:space="preserve">Corporate   </w:t>
      </w:r>
      <w:r w:rsidR="00DA1441">
        <w:rPr>
          <w:rFonts w:cs="Arial"/>
        </w:rPr>
        <w:t>Investigation</w:t>
      </w:r>
      <w:r w:rsidR="00514C63">
        <w:rPr>
          <w:rFonts w:cs="Arial"/>
        </w:rPr>
        <w:t xml:space="preserve"> </w:t>
      </w:r>
      <w:r w:rsidR="00DA1441">
        <w:rPr>
          <w:rFonts w:cs="Arial"/>
        </w:rPr>
        <w:t>Team for the period 1 April 201</w:t>
      </w:r>
      <w:r w:rsidR="00026745">
        <w:rPr>
          <w:rFonts w:cs="Arial"/>
        </w:rPr>
        <w:t>5</w:t>
      </w:r>
      <w:r w:rsidR="00DA1441">
        <w:rPr>
          <w:rFonts w:cs="Arial"/>
        </w:rPr>
        <w:t xml:space="preserve"> to </w:t>
      </w:r>
      <w:r w:rsidR="00514C63">
        <w:rPr>
          <w:rFonts w:cs="Arial"/>
        </w:rPr>
        <w:t>3</w:t>
      </w:r>
      <w:r w:rsidR="00026745">
        <w:rPr>
          <w:rFonts w:cs="Arial"/>
        </w:rPr>
        <w:t>0</w:t>
      </w:r>
      <w:r w:rsidR="00514C63">
        <w:rPr>
          <w:rFonts w:cs="Arial"/>
        </w:rPr>
        <w:t xml:space="preserve"> Ma</w:t>
      </w:r>
      <w:r w:rsidR="00026745">
        <w:rPr>
          <w:rFonts w:cs="Arial"/>
        </w:rPr>
        <w:t>y</w:t>
      </w:r>
      <w:r w:rsidR="00AF136A">
        <w:rPr>
          <w:rFonts w:cs="Arial"/>
        </w:rPr>
        <w:t xml:space="preserve"> 2015</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6E3B55">
      <w:pPr>
        <w:rPr>
          <w:rFonts w:cs="Arial"/>
          <w:b/>
        </w:rPr>
      </w:pPr>
    </w:p>
    <w:p w:rsidR="007B6E54" w:rsidRDefault="00302A89">
      <w:pPr>
        <w:rPr>
          <w:rFonts w:cs="Arial"/>
          <w:b/>
        </w:rPr>
      </w:pPr>
      <w:r>
        <w:rPr>
          <w:rFonts w:cs="Arial"/>
          <w:b/>
        </w:rPr>
        <w:t xml:space="preserve">      </w:t>
      </w:r>
      <w:r w:rsidR="007B6E54">
        <w:rPr>
          <w:rFonts w:cs="Arial"/>
          <w:b/>
        </w:rPr>
        <w:t>Background</w:t>
      </w:r>
    </w:p>
    <w:p w:rsidR="007B6E54" w:rsidRDefault="007B6E54">
      <w:pPr>
        <w:rPr>
          <w:rFonts w:cs="Arial"/>
          <w:b/>
        </w:rPr>
      </w:pPr>
    </w:p>
    <w:p w:rsidR="00E55FA1" w:rsidRDefault="00832739" w:rsidP="005512A2">
      <w:pPr>
        <w:pStyle w:val="ListParagraph"/>
        <w:numPr>
          <w:ilvl w:val="0"/>
          <w:numId w:val="2"/>
        </w:numPr>
        <w:rPr>
          <w:rFonts w:cs="Arial"/>
        </w:rPr>
      </w:pPr>
      <w:r>
        <w:rPr>
          <w:rFonts w:cs="Arial"/>
        </w:rPr>
        <w:t>Following the introduction of the Single Fraud Investigation Service SFIS, t</w:t>
      </w:r>
      <w:r w:rsidR="005512A2" w:rsidRPr="005512A2">
        <w:rPr>
          <w:rFonts w:cs="Arial"/>
        </w:rPr>
        <w:t xml:space="preserve">he remit of the Investigation Team </w:t>
      </w:r>
      <w:r w:rsidR="001046A6">
        <w:rPr>
          <w:rFonts w:cs="Arial"/>
        </w:rPr>
        <w:t xml:space="preserve">has moved away from </w:t>
      </w:r>
      <w:proofErr w:type="gramStart"/>
      <w:r w:rsidR="00EF0FF2">
        <w:rPr>
          <w:rFonts w:cs="Arial"/>
        </w:rPr>
        <w:t>tackl</w:t>
      </w:r>
      <w:r w:rsidR="001046A6">
        <w:rPr>
          <w:rFonts w:cs="Arial"/>
        </w:rPr>
        <w:t>ing  Housing</w:t>
      </w:r>
      <w:proofErr w:type="gramEnd"/>
      <w:r w:rsidR="001046A6">
        <w:rPr>
          <w:rFonts w:cs="Arial"/>
        </w:rPr>
        <w:t xml:space="preserve"> Benefit fraud to a corporate orientated approach aligned to our services’ fraud risks and the priorities identified by </w:t>
      </w:r>
      <w:r w:rsidR="00E96638">
        <w:rPr>
          <w:rFonts w:cs="Arial"/>
        </w:rPr>
        <w:t>the Audit Commission</w:t>
      </w:r>
      <w:r w:rsidR="001046A6">
        <w:rPr>
          <w:rFonts w:cs="Arial"/>
        </w:rPr>
        <w:t>.</w:t>
      </w:r>
    </w:p>
    <w:p w:rsidR="001046A6" w:rsidRDefault="001046A6" w:rsidP="001046A6">
      <w:pPr>
        <w:rPr>
          <w:rFonts w:cs="Arial"/>
        </w:rPr>
      </w:pPr>
    </w:p>
    <w:p w:rsidR="001046A6" w:rsidRPr="001046A6" w:rsidRDefault="001046A6" w:rsidP="001046A6">
      <w:pPr>
        <w:ind w:left="360"/>
        <w:rPr>
          <w:rFonts w:cs="Arial"/>
        </w:rPr>
      </w:pPr>
      <w:r>
        <w:rPr>
          <w:rFonts w:cs="Arial"/>
        </w:rPr>
        <w:t xml:space="preserve">The aims and objectives of the team are to provide high quality professional </w:t>
      </w:r>
      <w:r w:rsidR="00862AB0">
        <w:rPr>
          <w:rFonts w:cs="Arial"/>
        </w:rPr>
        <w:t>c</w:t>
      </w:r>
      <w:r>
        <w:rPr>
          <w:rFonts w:cs="Arial"/>
        </w:rPr>
        <w:t xml:space="preserve">orporate </w:t>
      </w:r>
      <w:r w:rsidR="00862AB0">
        <w:rPr>
          <w:rFonts w:cs="Arial"/>
        </w:rPr>
        <w:t>f</w:t>
      </w:r>
      <w:r>
        <w:rPr>
          <w:rFonts w:cs="Arial"/>
        </w:rPr>
        <w:t xml:space="preserve">raud </w:t>
      </w:r>
      <w:r w:rsidR="00862AB0">
        <w:rPr>
          <w:rFonts w:cs="Arial"/>
        </w:rPr>
        <w:t xml:space="preserve">investigation </w:t>
      </w:r>
      <w:r>
        <w:rPr>
          <w:rFonts w:cs="Arial"/>
        </w:rPr>
        <w:t xml:space="preserve">services to the Council </w:t>
      </w:r>
      <w:r w:rsidR="00862AB0">
        <w:rPr>
          <w:rFonts w:cs="Arial"/>
        </w:rPr>
        <w:t>to</w:t>
      </w:r>
      <w:r>
        <w:rPr>
          <w:rFonts w:cs="Arial"/>
        </w:rPr>
        <w:t xml:space="preserve"> prevent and detect fraud and error within </w:t>
      </w:r>
      <w:r w:rsidR="00862AB0">
        <w:rPr>
          <w:rFonts w:cs="Arial"/>
        </w:rPr>
        <w:t xml:space="preserve">the </w:t>
      </w:r>
      <w:r>
        <w:rPr>
          <w:rFonts w:cs="Arial"/>
        </w:rPr>
        <w:t>Council and partner organisations, and to assist cross border agencies where possible.</w:t>
      </w:r>
    </w:p>
    <w:p w:rsidR="00E55FA1" w:rsidRDefault="00E55FA1">
      <w:pPr>
        <w:rPr>
          <w:rFonts w:cs="Arial"/>
          <w:b/>
        </w:rPr>
      </w:pPr>
    </w:p>
    <w:p w:rsidR="00AA3834" w:rsidRDefault="00AA3834">
      <w:pPr>
        <w:rPr>
          <w:rFonts w:cs="Arial"/>
          <w:b/>
        </w:rPr>
      </w:pPr>
    </w:p>
    <w:p w:rsidR="00582513" w:rsidRDefault="00582513">
      <w:pPr>
        <w:rPr>
          <w:rFonts w:cs="Arial"/>
          <w:b/>
        </w:rPr>
      </w:pPr>
    </w:p>
    <w:p w:rsidR="00582513" w:rsidRDefault="00582513">
      <w:pPr>
        <w:rPr>
          <w:rFonts w:cs="Arial"/>
          <w:b/>
        </w:rPr>
      </w:pPr>
    </w:p>
    <w:p w:rsidR="00582513" w:rsidRDefault="00582513">
      <w:pPr>
        <w:rPr>
          <w:rFonts w:cs="Arial"/>
          <w:b/>
        </w:rPr>
      </w:pPr>
    </w:p>
    <w:p w:rsidR="00582513" w:rsidRDefault="00582513">
      <w:pPr>
        <w:rPr>
          <w:rFonts w:cs="Arial"/>
          <w:b/>
        </w:rPr>
      </w:pPr>
    </w:p>
    <w:p w:rsidR="002A48DC" w:rsidRPr="002A48DC" w:rsidRDefault="00302A89" w:rsidP="002A48DC">
      <w:pPr>
        <w:autoSpaceDE w:val="0"/>
        <w:autoSpaceDN w:val="0"/>
        <w:adjustRightInd w:val="0"/>
        <w:jc w:val="both"/>
        <w:rPr>
          <w:rFonts w:cs="Arial"/>
          <w:b/>
          <w:lang w:eastAsia="en-GB"/>
        </w:rPr>
      </w:pPr>
      <w:r>
        <w:rPr>
          <w:rFonts w:cs="Arial"/>
          <w:b/>
          <w:lang w:eastAsia="en-GB"/>
        </w:rPr>
        <w:t xml:space="preserve">      </w:t>
      </w:r>
      <w:r w:rsidR="002A48DC">
        <w:rPr>
          <w:rFonts w:cs="Arial"/>
          <w:b/>
          <w:lang w:eastAsia="en-GB"/>
        </w:rPr>
        <w:t>Performance</w:t>
      </w:r>
    </w:p>
    <w:p w:rsidR="002A48DC" w:rsidRPr="002A48DC" w:rsidRDefault="002A48DC" w:rsidP="002A48DC">
      <w:pPr>
        <w:autoSpaceDE w:val="0"/>
        <w:autoSpaceDN w:val="0"/>
        <w:adjustRightInd w:val="0"/>
        <w:jc w:val="both"/>
        <w:rPr>
          <w:rFonts w:cs="Arial"/>
          <w:lang w:eastAsia="en-GB"/>
        </w:rPr>
      </w:pPr>
    </w:p>
    <w:p w:rsidR="00036F46" w:rsidRPr="00036F46" w:rsidRDefault="00036F46" w:rsidP="00036F46">
      <w:pPr>
        <w:pStyle w:val="ListParagraph"/>
        <w:numPr>
          <w:ilvl w:val="0"/>
          <w:numId w:val="2"/>
        </w:numPr>
        <w:autoSpaceDE w:val="0"/>
        <w:autoSpaceDN w:val="0"/>
        <w:adjustRightInd w:val="0"/>
        <w:jc w:val="both"/>
        <w:rPr>
          <w:rFonts w:cs="Arial"/>
          <w:lang w:eastAsia="en-GB"/>
        </w:rPr>
      </w:pPr>
      <w:r w:rsidRPr="00036F46">
        <w:rPr>
          <w:rFonts w:cs="Arial"/>
        </w:rPr>
        <w:t>There are t</w:t>
      </w:r>
      <w:r w:rsidR="00EF0FF2">
        <w:rPr>
          <w:rFonts w:cs="Arial"/>
        </w:rPr>
        <w:t>hree</w:t>
      </w:r>
      <w:r w:rsidRPr="00036F46">
        <w:rPr>
          <w:rFonts w:cs="Arial"/>
        </w:rPr>
        <w:t xml:space="preserve"> Service Performance Indicators </w:t>
      </w:r>
      <w:r w:rsidRPr="00036F46">
        <w:rPr>
          <w:rFonts w:cs="Arial"/>
          <w:lang w:eastAsia="en-GB"/>
        </w:rPr>
        <w:t xml:space="preserve">which are 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1218"/>
        <w:gridCol w:w="1218"/>
        <w:gridCol w:w="1227"/>
        <w:gridCol w:w="3169"/>
      </w:tblGrid>
      <w:tr w:rsidR="00054FBB" w:rsidRPr="002A332E" w:rsidTr="000B6D93">
        <w:tc>
          <w:tcPr>
            <w:tcW w:w="8414" w:type="dxa"/>
            <w:gridSpan w:val="5"/>
            <w:shd w:val="clear" w:color="auto" w:fill="548DD4"/>
          </w:tcPr>
          <w:p w:rsidR="00054FBB" w:rsidRPr="002A332E" w:rsidRDefault="00030F54" w:rsidP="00EF0FF2">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EF0FF2">
              <w:rPr>
                <w:rFonts w:cs="Arial"/>
                <w:b/>
                <w:lang w:eastAsia="en-GB"/>
              </w:rPr>
              <w:t>gations Team Performance for April and May 2015</w:t>
            </w:r>
          </w:p>
        </w:tc>
      </w:tr>
      <w:tr w:rsidR="00C45EEB" w:rsidRPr="002A332E" w:rsidTr="00C45EEB">
        <w:tc>
          <w:tcPr>
            <w:tcW w:w="1582" w:type="dxa"/>
            <w:shd w:val="clear" w:color="auto" w:fill="548DD4"/>
          </w:tcPr>
          <w:p w:rsidR="00EF0FF2" w:rsidRPr="002A332E" w:rsidRDefault="00EF0FF2" w:rsidP="00293121">
            <w:pPr>
              <w:autoSpaceDE w:val="0"/>
              <w:autoSpaceDN w:val="0"/>
              <w:adjustRightInd w:val="0"/>
              <w:jc w:val="center"/>
              <w:rPr>
                <w:rFonts w:cs="Arial"/>
                <w:b/>
                <w:lang w:eastAsia="en-GB"/>
              </w:rPr>
            </w:pPr>
            <w:r w:rsidRPr="002A332E">
              <w:rPr>
                <w:rFonts w:cs="Arial"/>
                <w:b/>
                <w:lang w:eastAsia="en-GB"/>
              </w:rPr>
              <w:t>Measure</w:t>
            </w:r>
          </w:p>
          <w:p w:rsidR="00EF0FF2" w:rsidRPr="002A332E" w:rsidRDefault="00EF0FF2" w:rsidP="00293121">
            <w:pPr>
              <w:autoSpaceDE w:val="0"/>
              <w:autoSpaceDN w:val="0"/>
              <w:adjustRightInd w:val="0"/>
              <w:jc w:val="center"/>
              <w:rPr>
                <w:rFonts w:cs="Arial"/>
                <w:b/>
                <w:lang w:eastAsia="en-GB"/>
              </w:rPr>
            </w:pPr>
          </w:p>
        </w:tc>
        <w:tc>
          <w:tcPr>
            <w:tcW w:w="1218" w:type="dxa"/>
            <w:shd w:val="clear" w:color="auto" w:fill="548DD4"/>
          </w:tcPr>
          <w:p w:rsidR="00EF0FF2" w:rsidRDefault="00EF0FF2" w:rsidP="00293121">
            <w:pPr>
              <w:autoSpaceDE w:val="0"/>
              <w:autoSpaceDN w:val="0"/>
              <w:adjustRightInd w:val="0"/>
              <w:jc w:val="center"/>
              <w:rPr>
                <w:rFonts w:cs="Arial"/>
                <w:b/>
                <w:lang w:eastAsia="en-GB"/>
              </w:rPr>
            </w:pPr>
            <w:r>
              <w:rPr>
                <w:rFonts w:cs="Arial"/>
                <w:b/>
                <w:lang w:eastAsia="en-GB"/>
              </w:rPr>
              <w:t>Annual Target</w:t>
            </w:r>
          </w:p>
        </w:tc>
        <w:tc>
          <w:tcPr>
            <w:tcW w:w="1218" w:type="dxa"/>
            <w:shd w:val="clear" w:color="auto" w:fill="548DD4"/>
          </w:tcPr>
          <w:p w:rsidR="00EF0FF2" w:rsidRPr="002A332E" w:rsidRDefault="00EF0FF2" w:rsidP="00293121">
            <w:pPr>
              <w:autoSpaceDE w:val="0"/>
              <w:autoSpaceDN w:val="0"/>
              <w:adjustRightInd w:val="0"/>
              <w:jc w:val="center"/>
              <w:rPr>
                <w:rFonts w:cs="Arial"/>
                <w:b/>
                <w:lang w:eastAsia="en-GB"/>
              </w:rPr>
            </w:pPr>
            <w:r>
              <w:rPr>
                <w:rFonts w:cs="Arial"/>
                <w:b/>
                <w:lang w:eastAsia="en-GB"/>
              </w:rPr>
              <w:t>April</w:t>
            </w:r>
          </w:p>
        </w:tc>
        <w:tc>
          <w:tcPr>
            <w:tcW w:w="1227" w:type="dxa"/>
            <w:shd w:val="clear" w:color="auto" w:fill="548DD4"/>
          </w:tcPr>
          <w:p w:rsidR="00EF0FF2" w:rsidRPr="002A332E" w:rsidRDefault="00EF0FF2" w:rsidP="00293121">
            <w:pPr>
              <w:autoSpaceDE w:val="0"/>
              <w:autoSpaceDN w:val="0"/>
              <w:adjustRightInd w:val="0"/>
              <w:jc w:val="center"/>
              <w:rPr>
                <w:rFonts w:cs="Arial"/>
                <w:b/>
                <w:lang w:eastAsia="en-GB"/>
              </w:rPr>
            </w:pPr>
            <w:r>
              <w:rPr>
                <w:rFonts w:cs="Arial"/>
                <w:b/>
                <w:lang w:eastAsia="en-GB"/>
              </w:rPr>
              <w:t>May</w:t>
            </w:r>
          </w:p>
        </w:tc>
        <w:tc>
          <w:tcPr>
            <w:tcW w:w="3169" w:type="dxa"/>
            <w:shd w:val="clear" w:color="auto" w:fill="548DD4"/>
          </w:tcPr>
          <w:p w:rsidR="00EF0FF2" w:rsidRPr="002A332E" w:rsidRDefault="00EF0FF2" w:rsidP="00293121">
            <w:pPr>
              <w:autoSpaceDE w:val="0"/>
              <w:autoSpaceDN w:val="0"/>
              <w:adjustRightInd w:val="0"/>
              <w:jc w:val="center"/>
              <w:rPr>
                <w:rFonts w:cs="Arial"/>
                <w:b/>
                <w:lang w:eastAsia="en-GB"/>
              </w:rPr>
            </w:pPr>
            <w:r>
              <w:rPr>
                <w:rFonts w:cs="Arial"/>
                <w:b/>
                <w:lang w:eastAsia="en-GB"/>
              </w:rPr>
              <w:t>Comment</w:t>
            </w:r>
          </w:p>
        </w:tc>
      </w:tr>
      <w:tr w:rsidR="00C45EEB" w:rsidRPr="002A332E" w:rsidTr="000B234E">
        <w:trPr>
          <w:trHeight w:val="1457"/>
        </w:trPr>
        <w:tc>
          <w:tcPr>
            <w:tcW w:w="1582" w:type="dxa"/>
            <w:shd w:val="clear" w:color="auto" w:fill="auto"/>
          </w:tcPr>
          <w:p w:rsidR="00EF0FF2" w:rsidRPr="002A332E" w:rsidRDefault="00EF0FF2" w:rsidP="000B234E">
            <w:pPr>
              <w:autoSpaceDE w:val="0"/>
              <w:autoSpaceDN w:val="0"/>
              <w:adjustRightInd w:val="0"/>
              <w:rPr>
                <w:rFonts w:cs="Arial"/>
                <w:lang w:eastAsia="en-GB"/>
              </w:rPr>
            </w:pPr>
            <w:r w:rsidRPr="00365161">
              <w:rPr>
                <w:bCs/>
              </w:rPr>
              <w:t xml:space="preserve">Number of </w:t>
            </w:r>
            <w:r w:rsidR="00C45EEB">
              <w:rPr>
                <w:bCs/>
              </w:rPr>
              <w:t>properties returned to housing stock</w:t>
            </w:r>
            <w:r w:rsidRPr="00365161">
              <w:rPr>
                <w:bCs/>
              </w:rPr>
              <w:t xml:space="preserve"> </w:t>
            </w:r>
          </w:p>
        </w:tc>
        <w:tc>
          <w:tcPr>
            <w:tcW w:w="1218" w:type="dxa"/>
          </w:tcPr>
          <w:p w:rsidR="00EF0FF2" w:rsidRDefault="00EF0FF2" w:rsidP="00293121">
            <w:pPr>
              <w:autoSpaceDE w:val="0"/>
              <w:autoSpaceDN w:val="0"/>
              <w:adjustRightInd w:val="0"/>
              <w:jc w:val="center"/>
              <w:rPr>
                <w:rFonts w:cs="Arial"/>
                <w:lang w:eastAsia="en-GB"/>
              </w:rPr>
            </w:pPr>
            <w:r>
              <w:rPr>
                <w:rFonts w:cs="Arial"/>
                <w:lang w:eastAsia="en-GB"/>
              </w:rPr>
              <w:t>20</w:t>
            </w:r>
          </w:p>
        </w:tc>
        <w:tc>
          <w:tcPr>
            <w:tcW w:w="1218" w:type="dxa"/>
          </w:tcPr>
          <w:p w:rsidR="00EF0FF2" w:rsidRDefault="000B6D93" w:rsidP="00293121">
            <w:pPr>
              <w:autoSpaceDE w:val="0"/>
              <w:autoSpaceDN w:val="0"/>
              <w:adjustRightInd w:val="0"/>
              <w:jc w:val="center"/>
              <w:rPr>
                <w:rFonts w:cs="Arial"/>
                <w:lang w:eastAsia="en-GB"/>
              </w:rPr>
            </w:pPr>
            <w:r>
              <w:rPr>
                <w:rFonts w:cs="Arial"/>
                <w:lang w:eastAsia="en-GB"/>
              </w:rPr>
              <w:t>5</w:t>
            </w:r>
          </w:p>
        </w:tc>
        <w:tc>
          <w:tcPr>
            <w:tcW w:w="1227" w:type="dxa"/>
            <w:shd w:val="clear" w:color="auto" w:fill="auto"/>
          </w:tcPr>
          <w:p w:rsidR="00EF0FF2" w:rsidRPr="002A332E" w:rsidRDefault="000B6D93" w:rsidP="00293121">
            <w:pPr>
              <w:autoSpaceDE w:val="0"/>
              <w:autoSpaceDN w:val="0"/>
              <w:adjustRightInd w:val="0"/>
              <w:jc w:val="center"/>
              <w:rPr>
                <w:rFonts w:cs="Arial"/>
                <w:lang w:eastAsia="en-GB"/>
              </w:rPr>
            </w:pPr>
            <w:r>
              <w:rPr>
                <w:rFonts w:cs="Arial"/>
                <w:lang w:eastAsia="en-GB"/>
              </w:rPr>
              <w:t>1</w:t>
            </w:r>
          </w:p>
        </w:tc>
        <w:tc>
          <w:tcPr>
            <w:tcW w:w="3169" w:type="dxa"/>
            <w:shd w:val="clear" w:color="auto" w:fill="auto"/>
          </w:tcPr>
          <w:p w:rsidR="00EF0FF2" w:rsidRPr="00365161" w:rsidRDefault="000B6D93" w:rsidP="000B234E">
            <w:pPr>
              <w:autoSpaceDE w:val="0"/>
              <w:autoSpaceDN w:val="0"/>
              <w:adjustRightInd w:val="0"/>
              <w:rPr>
                <w:rFonts w:cs="Arial"/>
                <w:lang w:eastAsia="en-GB"/>
              </w:rPr>
            </w:pPr>
            <w:r>
              <w:rPr>
                <w:rFonts w:cs="Arial"/>
                <w:lang w:eastAsia="en-GB"/>
              </w:rPr>
              <w:t>A good start with 30% of the annual target achieved in the first two months of the financial yea</w:t>
            </w:r>
            <w:r w:rsidR="000B234E">
              <w:rPr>
                <w:rFonts w:cs="Arial"/>
                <w:lang w:eastAsia="en-GB"/>
              </w:rPr>
              <w:t>r</w:t>
            </w:r>
          </w:p>
        </w:tc>
      </w:tr>
      <w:tr w:rsidR="00C45EEB" w:rsidRPr="002A332E" w:rsidTr="00C45EEB">
        <w:tc>
          <w:tcPr>
            <w:tcW w:w="1582" w:type="dxa"/>
            <w:shd w:val="clear" w:color="auto" w:fill="auto"/>
          </w:tcPr>
          <w:p w:rsidR="00C45EEB" w:rsidRPr="00365161" w:rsidRDefault="00C45EEB" w:rsidP="00C309D1">
            <w:pPr>
              <w:autoSpaceDE w:val="0"/>
              <w:autoSpaceDN w:val="0"/>
              <w:adjustRightInd w:val="0"/>
              <w:rPr>
                <w:rFonts w:cs="Arial"/>
                <w:lang w:eastAsia="en-GB"/>
              </w:rPr>
            </w:pPr>
            <w:r>
              <w:rPr>
                <w:bCs/>
              </w:rPr>
              <w:t xml:space="preserve">Income raised and payments prevented from </w:t>
            </w:r>
            <w:proofErr w:type="spellStart"/>
            <w:r>
              <w:rPr>
                <w:bCs/>
              </w:rPr>
              <w:t>non welfare</w:t>
            </w:r>
            <w:proofErr w:type="spellEnd"/>
            <w:r>
              <w:rPr>
                <w:bCs/>
              </w:rPr>
              <w:t xml:space="preserve"> benefit fraud</w:t>
            </w:r>
            <w:r w:rsidRPr="00365161">
              <w:rPr>
                <w:rFonts w:cs="Arial"/>
                <w:lang w:eastAsia="en-GB"/>
              </w:rPr>
              <w:t xml:space="preserve"> </w:t>
            </w:r>
          </w:p>
        </w:tc>
        <w:tc>
          <w:tcPr>
            <w:tcW w:w="1218" w:type="dxa"/>
          </w:tcPr>
          <w:p w:rsidR="00C45EEB" w:rsidRDefault="00C45EEB" w:rsidP="00293121">
            <w:pPr>
              <w:autoSpaceDE w:val="0"/>
              <w:autoSpaceDN w:val="0"/>
              <w:adjustRightInd w:val="0"/>
              <w:jc w:val="center"/>
              <w:rPr>
                <w:rFonts w:cs="Arial"/>
                <w:lang w:eastAsia="en-GB"/>
              </w:rPr>
            </w:pPr>
            <w:r>
              <w:rPr>
                <w:rFonts w:cs="Arial"/>
                <w:lang w:eastAsia="en-GB"/>
              </w:rPr>
              <w:t>£200,000</w:t>
            </w:r>
          </w:p>
        </w:tc>
        <w:tc>
          <w:tcPr>
            <w:tcW w:w="1218" w:type="dxa"/>
            <w:shd w:val="clear" w:color="auto" w:fill="auto"/>
          </w:tcPr>
          <w:p w:rsidR="00C45EEB" w:rsidRPr="002A332E" w:rsidRDefault="00C45EEB" w:rsidP="00293121">
            <w:pPr>
              <w:autoSpaceDE w:val="0"/>
              <w:autoSpaceDN w:val="0"/>
              <w:adjustRightInd w:val="0"/>
              <w:jc w:val="center"/>
              <w:rPr>
                <w:rFonts w:cs="Arial"/>
                <w:lang w:eastAsia="en-GB"/>
              </w:rPr>
            </w:pPr>
            <w:r>
              <w:rPr>
                <w:rFonts w:cs="Arial"/>
                <w:lang w:eastAsia="en-GB"/>
              </w:rPr>
              <w:t>£237,341</w:t>
            </w:r>
          </w:p>
        </w:tc>
        <w:tc>
          <w:tcPr>
            <w:tcW w:w="1227" w:type="dxa"/>
            <w:shd w:val="clear" w:color="auto" w:fill="auto"/>
          </w:tcPr>
          <w:p w:rsidR="00C45EEB" w:rsidRPr="002A332E" w:rsidRDefault="00C45EEB" w:rsidP="000D4BAE">
            <w:pPr>
              <w:autoSpaceDE w:val="0"/>
              <w:autoSpaceDN w:val="0"/>
              <w:adjustRightInd w:val="0"/>
              <w:ind w:left="295" w:hanging="399"/>
              <w:jc w:val="center"/>
              <w:rPr>
                <w:rFonts w:cs="Arial"/>
                <w:lang w:eastAsia="en-GB"/>
              </w:rPr>
            </w:pPr>
            <w:r>
              <w:rPr>
                <w:rFonts w:cs="Arial"/>
                <w:lang w:eastAsia="en-GB"/>
              </w:rPr>
              <w:t xml:space="preserve"> £2</w:t>
            </w:r>
            <w:r w:rsidR="0081180D">
              <w:rPr>
                <w:rFonts w:cs="Arial"/>
                <w:lang w:eastAsia="en-GB"/>
              </w:rPr>
              <w:t>52</w:t>
            </w:r>
            <w:r>
              <w:rPr>
                <w:rFonts w:cs="Arial"/>
                <w:lang w:eastAsia="en-GB"/>
              </w:rPr>
              <w:t>,342</w:t>
            </w:r>
          </w:p>
        </w:tc>
        <w:tc>
          <w:tcPr>
            <w:tcW w:w="3169" w:type="dxa"/>
            <w:shd w:val="clear" w:color="auto" w:fill="auto"/>
          </w:tcPr>
          <w:p w:rsidR="001878F4" w:rsidRDefault="001878F4" w:rsidP="00C45EEB">
            <w:pPr>
              <w:autoSpaceDE w:val="0"/>
              <w:autoSpaceDN w:val="0"/>
              <w:adjustRightInd w:val="0"/>
              <w:rPr>
                <w:rFonts w:cs="Arial"/>
                <w:lang w:eastAsia="en-GB"/>
              </w:rPr>
            </w:pPr>
            <w:r>
              <w:rPr>
                <w:rFonts w:cs="Arial"/>
                <w:lang w:eastAsia="en-GB"/>
              </w:rPr>
              <w:t>Total £4</w:t>
            </w:r>
            <w:r w:rsidR="0081180D">
              <w:rPr>
                <w:rFonts w:cs="Arial"/>
                <w:lang w:eastAsia="en-GB"/>
              </w:rPr>
              <w:t>89</w:t>
            </w:r>
            <w:r>
              <w:rPr>
                <w:rFonts w:cs="Arial"/>
                <w:lang w:eastAsia="en-GB"/>
              </w:rPr>
              <w:t>,683</w:t>
            </w:r>
          </w:p>
          <w:p w:rsidR="001878F4" w:rsidRDefault="001878F4" w:rsidP="00C45EEB">
            <w:pPr>
              <w:autoSpaceDE w:val="0"/>
              <w:autoSpaceDN w:val="0"/>
              <w:adjustRightInd w:val="0"/>
              <w:rPr>
                <w:rFonts w:cs="Arial"/>
                <w:lang w:eastAsia="en-GB"/>
              </w:rPr>
            </w:pPr>
          </w:p>
          <w:p w:rsidR="00C45EEB" w:rsidRDefault="00C45EEB" w:rsidP="00C45EEB">
            <w:pPr>
              <w:autoSpaceDE w:val="0"/>
              <w:autoSpaceDN w:val="0"/>
              <w:adjustRightInd w:val="0"/>
              <w:rPr>
                <w:rFonts w:cs="Arial"/>
                <w:lang w:eastAsia="en-GB"/>
              </w:rPr>
            </w:pPr>
            <w:r>
              <w:rPr>
                <w:rFonts w:cs="Arial"/>
                <w:lang w:eastAsia="en-GB"/>
              </w:rPr>
              <w:t>2</w:t>
            </w:r>
            <w:r w:rsidR="001309C9">
              <w:rPr>
                <w:rFonts w:cs="Arial"/>
                <w:lang w:eastAsia="en-GB"/>
              </w:rPr>
              <w:t>45</w:t>
            </w:r>
            <w:r>
              <w:rPr>
                <w:rFonts w:cs="Arial"/>
                <w:lang w:eastAsia="en-GB"/>
              </w:rPr>
              <w:t>% of annual target achieved.</w:t>
            </w:r>
          </w:p>
          <w:p w:rsidR="00030F54" w:rsidRDefault="00030F54" w:rsidP="00C45EEB">
            <w:pPr>
              <w:autoSpaceDE w:val="0"/>
              <w:autoSpaceDN w:val="0"/>
              <w:adjustRightInd w:val="0"/>
              <w:rPr>
                <w:rFonts w:cs="Arial"/>
                <w:lang w:eastAsia="en-GB"/>
              </w:rPr>
            </w:pPr>
          </w:p>
          <w:p w:rsidR="00030F54" w:rsidRPr="002A332E" w:rsidRDefault="00030F54" w:rsidP="00C45EEB">
            <w:pPr>
              <w:autoSpaceDE w:val="0"/>
              <w:autoSpaceDN w:val="0"/>
              <w:adjustRightInd w:val="0"/>
              <w:rPr>
                <w:rFonts w:cs="Arial"/>
                <w:lang w:eastAsia="en-GB"/>
              </w:rPr>
            </w:pPr>
            <w:r>
              <w:rPr>
                <w:rFonts w:cs="Arial"/>
                <w:lang w:eastAsia="en-GB"/>
              </w:rPr>
              <w:t>See Table 2 for breakdown</w:t>
            </w:r>
          </w:p>
        </w:tc>
      </w:tr>
      <w:tr w:rsidR="00C45EEB" w:rsidRPr="002A332E" w:rsidTr="00C45EEB">
        <w:tc>
          <w:tcPr>
            <w:tcW w:w="1582" w:type="dxa"/>
            <w:shd w:val="clear" w:color="auto" w:fill="auto"/>
          </w:tcPr>
          <w:p w:rsidR="00C45EEB" w:rsidRDefault="00C309D1" w:rsidP="00293121">
            <w:pPr>
              <w:autoSpaceDE w:val="0"/>
              <w:autoSpaceDN w:val="0"/>
              <w:adjustRightInd w:val="0"/>
              <w:rPr>
                <w:bCs/>
              </w:rPr>
            </w:pPr>
            <w:r>
              <w:rPr>
                <w:bCs/>
              </w:rPr>
              <w:t>Users Satisfied with Investigation Service</w:t>
            </w:r>
          </w:p>
        </w:tc>
        <w:tc>
          <w:tcPr>
            <w:tcW w:w="1218" w:type="dxa"/>
          </w:tcPr>
          <w:p w:rsidR="00C45EEB" w:rsidRDefault="00BA4032" w:rsidP="00293121">
            <w:pPr>
              <w:autoSpaceDE w:val="0"/>
              <w:autoSpaceDN w:val="0"/>
              <w:adjustRightInd w:val="0"/>
              <w:jc w:val="center"/>
              <w:rPr>
                <w:rFonts w:cs="Arial"/>
                <w:lang w:eastAsia="en-GB"/>
              </w:rPr>
            </w:pPr>
            <w:r>
              <w:rPr>
                <w:rFonts w:cs="Arial"/>
                <w:lang w:eastAsia="en-GB"/>
              </w:rPr>
              <w:t>95%</w:t>
            </w:r>
          </w:p>
        </w:tc>
        <w:tc>
          <w:tcPr>
            <w:tcW w:w="1218" w:type="dxa"/>
            <w:shd w:val="clear" w:color="auto" w:fill="auto"/>
          </w:tcPr>
          <w:p w:rsidR="00C45EEB" w:rsidRDefault="00BA4032" w:rsidP="00293121">
            <w:pPr>
              <w:autoSpaceDE w:val="0"/>
              <w:autoSpaceDN w:val="0"/>
              <w:adjustRightInd w:val="0"/>
              <w:jc w:val="center"/>
              <w:rPr>
                <w:rFonts w:cs="Arial"/>
                <w:lang w:eastAsia="en-GB"/>
              </w:rPr>
            </w:pPr>
            <w:r>
              <w:rPr>
                <w:rFonts w:cs="Arial"/>
                <w:lang w:eastAsia="en-GB"/>
              </w:rPr>
              <w:t>100%</w:t>
            </w:r>
          </w:p>
        </w:tc>
        <w:tc>
          <w:tcPr>
            <w:tcW w:w="1227" w:type="dxa"/>
            <w:shd w:val="clear" w:color="auto" w:fill="auto"/>
          </w:tcPr>
          <w:p w:rsidR="00C45EEB" w:rsidRDefault="00BA4032" w:rsidP="00BA4032">
            <w:pPr>
              <w:autoSpaceDE w:val="0"/>
              <w:autoSpaceDN w:val="0"/>
              <w:adjustRightInd w:val="0"/>
              <w:ind w:left="-15" w:hanging="89"/>
              <w:jc w:val="center"/>
              <w:rPr>
                <w:rFonts w:cs="Arial"/>
                <w:lang w:eastAsia="en-GB"/>
              </w:rPr>
            </w:pPr>
            <w:r>
              <w:rPr>
                <w:rFonts w:cs="Arial"/>
                <w:lang w:eastAsia="en-GB"/>
              </w:rPr>
              <w:t>100%</w:t>
            </w:r>
          </w:p>
        </w:tc>
        <w:tc>
          <w:tcPr>
            <w:tcW w:w="3169" w:type="dxa"/>
            <w:shd w:val="clear" w:color="auto" w:fill="auto"/>
          </w:tcPr>
          <w:p w:rsidR="00C45EEB" w:rsidRDefault="00BA4032" w:rsidP="001309C9">
            <w:pPr>
              <w:autoSpaceDE w:val="0"/>
              <w:autoSpaceDN w:val="0"/>
              <w:adjustRightInd w:val="0"/>
              <w:rPr>
                <w:rFonts w:cs="Arial"/>
                <w:lang w:eastAsia="en-GB"/>
              </w:rPr>
            </w:pPr>
            <w:r>
              <w:rPr>
                <w:rFonts w:cs="Arial"/>
                <w:lang w:eastAsia="en-GB"/>
              </w:rPr>
              <w:t>7 I</w:t>
            </w:r>
            <w:r w:rsidR="001309C9">
              <w:rPr>
                <w:rFonts w:cs="Arial"/>
                <w:lang w:eastAsia="en-GB"/>
              </w:rPr>
              <w:t xml:space="preserve">nterviews </w:t>
            </w:r>
            <w:r>
              <w:rPr>
                <w:rFonts w:cs="Arial"/>
                <w:lang w:eastAsia="en-GB"/>
              </w:rPr>
              <w:t>U</w:t>
            </w:r>
            <w:r w:rsidR="001309C9">
              <w:rPr>
                <w:rFonts w:cs="Arial"/>
                <w:lang w:eastAsia="en-GB"/>
              </w:rPr>
              <w:t xml:space="preserve">nder </w:t>
            </w:r>
            <w:r>
              <w:rPr>
                <w:rFonts w:cs="Arial"/>
                <w:lang w:eastAsia="en-GB"/>
              </w:rPr>
              <w:t>C</w:t>
            </w:r>
            <w:r w:rsidR="001309C9">
              <w:rPr>
                <w:rFonts w:cs="Arial"/>
                <w:lang w:eastAsia="en-GB"/>
              </w:rPr>
              <w:t>aution</w:t>
            </w:r>
            <w:r>
              <w:rPr>
                <w:rFonts w:cs="Arial"/>
                <w:lang w:eastAsia="en-GB"/>
              </w:rPr>
              <w:t xml:space="preserve"> conducted over April and May, all with 100% satisfaction feedback.</w:t>
            </w:r>
          </w:p>
        </w:tc>
      </w:tr>
    </w:tbl>
    <w:p w:rsidR="00036F46" w:rsidRDefault="00036F46"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AB4D1C" w:rsidRDefault="00AB4D1C" w:rsidP="00036F46">
      <w:pPr>
        <w:rPr>
          <w:rFonts w:cs="Arial"/>
        </w:rPr>
      </w:pPr>
    </w:p>
    <w:p w:rsidR="002513A0" w:rsidRPr="00A314C9" w:rsidRDefault="00A314C9" w:rsidP="00A314C9">
      <w:pPr>
        <w:pStyle w:val="ListParagraph"/>
        <w:numPr>
          <w:ilvl w:val="0"/>
          <w:numId w:val="2"/>
        </w:numPr>
        <w:rPr>
          <w:rFonts w:cs="Arial"/>
        </w:rPr>
      </w:pPr>
      <w:r>
        <w:rPr>
          <w:rFonts w:cs="Arial"/>
        </w:rPr>
        <w:t>The performance measure relating to income raised and payments prevented consists of both tangible income,</w:t>
      </w:r>
      <w:r w:rsidR="00DE79DF">
        <w:rPr>
          <w:rFonts w:cs="Arial"/>
        </w:rPr>
        <w:t xml:space="preserve"> i.e. that</w:t>
      </w:r>
      <w:r>
        <w:rPr>
          <w:rFonts w:cs="Arial"/>
        </w:rPr>
        <w:t xml:space="preserve"> </w:t>
      </w:r>
      <w:r w:rsidR="004C5B6A">
        <w:rPr>
          <w:rFonts w:cs="Arial"/>
        </w:rPr>
        <w:t xml:space="preserve">is </w:t>
      </w:r>
      <w:r>
        <w:rPr>
          <w:rFonts w:cs="Arial"/>
        </w:rPr>
        <w:t xml:space="preserve">identified for </w:t>
      </w:r>
      <w:r w:rsidR="004A77C5">
        <w:rPr>
          <w:rFonts w:cs="Arial"/>
        </w:rPr>
        <w:t>recovery or</w:t>
      </w:r>
      <w:r w:rsidR="00DE79DF">
        <w:rPr>
          <w:rFonts w:cs="Arial"/>
        </w:rPr>
        <w:t xml:space="preserve"> physically</w:t>
      </w:r>
      <w:r>
        <w:rPr>
          <w:rFonts w:cs="Arial"/>
        </w:rPr>
        <w:t xml:space="preserve"> recovered and </w:t>
      </w:r>
      <w:r w:rsidR="004A77C5">
        <w:rPr>
          <w:rFonts w:cs="Arial"/>
        </w:rPr>
        <w:t xml:space="preserve">losses avoided </w:t>
      </w:r>
      <w:r>
        <w:rPr>
          <w:rFonts w:cs="Arial"/>
        </w:rPr>
        <w:t>based on government national standard calculations. The table below breaks this down</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33"/>
        <w:gridCol w:w="1603"/>
        <w:gridCol w:w="1430"/>
        <w:gridCol w:w="3456"/>
      </w:tblGrid>
      <w:tr w:rsidR="00030F54" w:rsidTr="00030F54">
        <w:tc>
          <w:tcPr>
            <w:tcW w:w="8522" w:type="dxa"/>
            <w:gridSpan w:val="4"/>
            <w:shd w:val="clear" w:color="auto" w:fill="548DD4" w:themeFill="text2" w:themeFillTint="99"/>
          </w:tcPr>
          <w:p w:rsidR="00030F54" w:rsidRPr="00030F54" w:rsidRDefault="00030F54" w:rsidP="00030F54">
            <w:pPr>
              <w:rPr>
                <w:rFonts w:cs="Arial"/>
                <w:b/>
              </w:rPr>
            </w:pPr>
            <w:r w:rsidRPr="00030F54">
              <w:rPr>
                <w:rFonts w:cs="Arial"/>
                <w:b/>
              </w:rPr>
              <w:t xml:space="preserve">Table 2 – Breakdown of Income </w:t>
            </w:r>
            <w:r>
              <w:rPr>
                <w:rFonts w:cs="Arial"/>
                <w:b/>
              </w:rPr>
              <w:t>&amp;</w:t>
            </w:r>
            <w:r w:rsidRPr="00030F54">
              <w:rPr>
                <w:rFonts w:cs="Arial"/>
                <w:b/>
              </w:rPr>
              <w:t xml:space="preserve"> Savings achieved in April </w:t>
            </w:r>
            <w:r>
              <w:rPr>
                <w:rFonts w:cs="Arial"/>
                <w:b/>
              </w:rPr>
              <w:t>&amp;</w:t>
            </w:r>
            <w:r w:rsidRPr="00030F54">
              <w:rPr>
                <w:rFonts w:cs="Arial"/>
                <w:b/>
              </w:rPr>
              <w:t xml:space="preserve"> May 2015</w:t>
            </w:r>
          </w:p>
        </w:tc>
      </w:tr>
      <w:tr w:rsidR="00832739" w:rsidTr="00E96638">
        <w:tc>
          <w:tcPr>
            <w:tcW w:w="2056" w:type="dxa"/>
            <w:shd w:val="clear" w:color="auto" w:fill="548DD4" w:themeFill="text2" w:themeFillTint="99"/>
          </w:tcPr>
          <w:p w:rsidR="00832739" w:rsidRPr="00030F54" w:rsidRDefault="00832739" w:rsidP="00C10750">
            <w:pPr>
              <w:rPr>
                <w:rFonts w:cs="Arial"/>
                <w:b/>
              </w:rPr>
            </w:pPr>
          </w:p>
        </w:tc>
        <w:tc>
          <w:tcPr>
            <w:tcW w:w="1617" w:type="dxa"/>
            <w:shd w:val="clear" w:color="auto" w:fill="548DD4" w:themeFill="text2" w:themeFillTint="99"/>
          </w:tcPr>
          <w:p w:rsidR="00832739" w:rsidRPr="00030F54" w:rsidRDefault="004B20D8" w:rsidP="00C10750">
            <w:pPr>
              <w:rPr>
                <w:rFonts w:cs="Arial"/>
                <w:b/>
              </w:rPr>
            </w:pPr>
            <w:r>
              <w:rPr>
                <w:rFonts w:cs="Arial"/>
                <w:b/>
              </w:rPr>
              <w:t>Income</w:t>
            </w:r>
          </w:p>
        </w:tc>
        <w:tc>
          <w:tcPr>
            <w:tcW w:w="1257" w:type="dxa"/>
            <w:shd w:val="clear" w:color="auto" w:fill="548DD4" w:themeFill="text2" w:themeFillTint="99"/>
          </w:tcPr>
          <w:p w:rsidR="00832739" w:rsidRPr="00030F54" w:rsidRDefault="004A77C5" w:rsidP="00C10750">
            <w:pPr>
              <w:rPr>
                <w:rFonts w:cs="Arial"/>
                <w:b/>
              </w:rPr>
            </w:pPr>
            <w:r>
              <w:rPr>
                <w:rFonts w:cs="Arial"/>
                <w:b/>
              </w:rPr>
              <w:t>Loss</w:t>
            </w:r>
          </w:p>
        </w:tc>
        <w:tc>
          <w:tcPr>
            <w:tcW w:w="3592" w:type="dxa"/>
            <w:shd w:val="clear" w:color="auto" w:fill="548DD4" w:themeFill="text2" w:themeFillTint="99"/>
          </w:tcPr>
          <w:p w:rsidR="00832739" w:rsidRPr="00030F54" w:rsidRDefault="00832739" w:rsidP="00C10750">
            <w:pPr>
              <w:rPr>
                <w:rFonts w:cs="Arial"/>
                <w:b/>
              </w:rPr>
            </w:pPr>
          </w:p>
        </w:tc>
      </w:tr>
      <w:tr w:rsidR="00A314C9" w:rsidTr="00E96638">
        <w:tc>
          <w:tcPr>
            <w:tcW w:w="2056" w:type="dxa"/>
            <w:shd w:val="clear" w:color="auto" w:fill="548DD4" w:themeFill="text2" w:themeFillTint="99"/>
          </w:tcPr>
          <w:p w:rsidR="00A314C9" w:rsidRPr="00030F54" w:rsidRDefault="00A314C9" w:rsidP="00C10750">
            <w:pPr>
              <w:rPr>
                <w:rFonts w:cs="Arial"/>
                <w:b/>
              </w:rPr>
            </w:pPr>
          </w:p>
        </w:tc>
        <w:tc>
          <w:tcPr>
            <w:tcW w:w="1617" w:type="dxa"/>
            <w:shd w:val="clear" w:color="auto" w:fill="548DD4" w:themeFill="text2" w:themeFillTint="99"/>
          </w:tcPr>
          <w:p w:rsidR="00A314C9" w:rsidRPr="00030F54" w:rsidRDefault="004B20D8" w:rsidP="004B20D8">
            <w:pPr>
              <w:rPr>
                <w:rFonts w:cs="Arial"/>
                <w:b/>
              </w:rPr>
            </w:pPr>
            <w:r>
              <w:rPr>
                <w:rFonts w:cs="Arial"/>
                <w:b/>
              </w:rPr>
              <w:t>Recovered</w:t>
            </w:r>
          </w:p>
        </w:tc>
        <w:tc>
          <w:tcPr>
            <w:tcW w:w="1257" w:type="dxa"/>
            <w:shd w:val="clear" w:color="auto" w:fill="548DD4" w:themeFill="text2" w:themeFillTint="99"/>
          </w:tcPr>
          <w:p w:rsidR="00A314C9" w:rsidRPr="00030F54" w:rsidRDefault="004A77C5" w:rsidP="00C10750">
            <w:pPr>
              <w:rPr>
                <w:rFonts w:cs="Arial"/>
                <w:b/>
              </w:rPr>
            </w:pPr>
            <w:r>
              <w:rPr>
                <w:rFonts w:cs="Arial"/>
                <w:b/>
              </w:rPr>
              <w:t>Avoidance</w:t>
            </w:r>
          </w:p>
        </w:tc>
        <w:tc>
          <w:tcPr>
            <w:tcW w:w="3592" w:type="dxa"/>
            <w:shd w:val="clear" w:color="auto" w:fill="548DD4" w:themeFill="text2" w:themeFillTint="99"/>
          </w:tcPr>
          <w:p w:rsidR="00A314C9" w:rsidRPr="00030F54" w:rsidRDefault="001878F4" w:rsidP="00C10750">
            <w:pPr>
              <w:rPr>
                <w:rFonts w:cs="Arial"/>
                <w:b/>
              </w:rPr>
            </w:pPr>
            <w:r w:rsidRPr="00030F54">
              <w:rPr>
                <w:rFonts w:cs="Arial"/>
                <w:b/>
              </w:rPr>
              <w:t>Comment</w:t>
            </w:r>
          </w:p>
        </w:tc>
      </w:tr>
      <w:tr w:rsidR="00832739" w:rsidTr="00E96638">
        <w:tc>
          <w:tcPr>
            <w:tcW w:w="2056" w:type="dxa"/>
          </w:tcPr>
          <w:p w:rsidR="00832739" w:rsidRDefault="00832739" w:rsidP="00C10750">
            <w:pPr>
              <w:rPr>
                <w:rFonts w:cs="Arial"/>
              </w:rPr>
            </w:pPr>
          </w:p>
        </w:tc>
        <w:tc>
          <w:tcPr>
            <w:tcW w:w="1617" w:type="dxa"/>
          </w:tcPr>
          <w:p w:rsidR="00832739" w:rsidRDefault="00832739" w:rsidP="00694F2E">
            <w:pPr>
              <w:jc w:val="center"/>
              <w:rPr>
                <w:rFonts w:cs="Arial"/>
              </w:rPr>
            </w:pPr>
            <w:r>
              <w:rPr>
                <w:rFonts w:cs="Arial"/>
              </w:rPr>
              <w:t>£</w:t>
            </w:r>
          </w:p>
        </w:tc>
        <w:tc>
          <w:tcPr>
            <w:tcW w:w="1257" w:type="dxa"/>
          </w:tcPr>
          <w:p w:rsidR="00832739" w:rsidRDefault="00832739" w:rsidP="00694F2E">
            <w:pPr>
              <w:jc w:val="center"/>
              <w:rPr>
                <w:rFonts w:cs="Arial"/>
              </w:rPr>
            </w:pPr>
            <w:r>
              <w:rPr>
                <w:rFonts w:cs="Arial"/>
              </w:rPr>
              <w:t>£</w:t>
            </w:r>
          </w:p>
        </w:tc>
        <w:tc>
          <w:tcPr>
            <w:tcW w:w="3592" w:type="dxa"/>
          </w:tcPr>
          <w:p w:rsidR="00832739" w:rsidRDefault="00832739" w:rsidP="00C10750">
            <w:pPr>
              <w:rPr>
                <w:rFonts w:cs="Arial"/>
              </w:rPr>
            </w:pPr>
          </w:p>
        </w:tc>
      </w:tr>
      <w:tr w:rsidR="00A314C9" w:rsidTr="00E96638">
        <w:tc>
          <w:tcPr>
            <w:tcW w:w="2056" w:type="dxa"/>
          </w:tcPr>
          <w:p w:rsidR="00A314C9" w:rsidRDefault="001878F4" w:rsidP="00C10750">
            <w:pPr>
              <w:rPr>
                <w:rFonts w:cs="Arial"/>
              </w:rPr>
            </w:pPr>
            <w:r>
              <w:rPr>
                <w:rFonts w:cs="Arial"/>
              </w:rPr>
              <w:t>Council Tax Reduction Scheme</w:t>
            </w:r>
          </w:p>
        </w:tc>
        <w:tc>
          <w:tcPr>
            <w:tcW w:w="1617" w:type="dxa"/>
          </w:tcPr>
          <w:p w:rsidR="00A314C9" w:rsidRDefault="001878F4" w:rsidP="00694F2E">
            <w:pPr>
              <w:jc w:val="right"/>
              <w:rPr>
                <w:rFonts w:cs="Arial"/>
              </w:rPr>
            </w:pPr>
            <w:r>
              <w:rPr>
                <w:rFonts w:cs="Arial"/>
              </w:rPr>
              <w:t>24,186</w:t>
            </w:r>
          </w:p>
        </w:tc>
        <w:tc>
          <w:tcPr>
            <w:tcW w:w="1257" w:type="dxa"/>
          </w:tcPr>
          <w:p w:rsidR="00A314C9" w:rsidRDefault="004B20D8" w:rsidP="00694F2E">
            <w:pPr>
              <w:jc w:val="right"/>
              <w:rPr>
                <w:rFonts w:cs="Arial"/>
              </w:rPr>
            </w:pPr>
            <w:r>
              <w:rPr>
                <w:rFonts w:cs="Arial"/>
              </w:rPr>
              <w:t>5,897</w:t>
            </w:r>
          </w:p>
        </w:tc>
        <w:tc>
          <w:tcPr>
            <w:tcW w:w="3592" w:type="dxa"/>
          </w:tcPr>
          <w:p w:rsidR="00A314C9" w:rsidRDefault="0078570D" w:rsidP="00FE7AC5">
            <w:pPr>
              <w:rPr>
                <w:rFonts w:cs="Arial"/>
              </w:rPr>
            </w:pPr>
            <w:r>
              <w:rPr>
                <w:rFonts w:cs="Arial"/>
              </w:rPr>
              <w:t>Achieved through investigation of benefit claims.</w:t>
            </w:r>
            <w:r w:rsidR="00FE7AC5">
              <w:rPr>
                <w:rFonts w:cs="Arial"/>
              </w:rPr>
              <w:t xml:space="preserve"> Notional savings are based on a standard 32 week entitlement which is the average number of weeks a claim would have continued without intervention</w:t>
            </w:r>
          </w:p>
        </w:tc>
      </w:tr>
      <w:tr w:rsidR="00A314C9" w:rsidTr="00E96638">
        <w:tc>
          <w:tcPr>
            <w:tcW w:w="2056" w:type="dxa"/>
          </w:tcPr>
          <w:p w:rsidR="00A314C9" w:rsidRDefault="0078570D" w:rsidP="00C10750">
            <w:pPr>
              <w:rPr>
                <w:rFonts w:cs="Arial"/>
              </w:rPr>
            </w:pPr>
            <w:r>
              <w:rPr>
                <w:rFonts w:cs="Arial"/>
              </w:rPr>
              <w:t>Council Tax Discount / Exemption adjustments</w:t>
            </w:r>
          </w:p>
        </w:tc>
        <w:tc>
          <w:tcPr>
            <w:tcW w:w="1617" w:type="dxa"/>
          </w:tcPr>
          <w:p w:rsidR="00A314C9" w:rsidRDefault="0078570D" w:rsidP="00694F2E">
            <w:pPr>
              <w:jc w:val="right"/>
              <w:rPr>
                <w:rFonts w:cs="Arial"/>
              </w:rPr>
            </w:pPr>
            <w:r>
              <w:rPr>
                <w:rFonts w:cs="Arial"/>
              </w:rPr>
              <w:t>683</w:t>
            </w:r>
          </w:p>
        </w:tc>
        <w:tc>
          <w:tcPr>
            <w:tcW w:w="1257" w:type="dxa"/>
          </w:tcPr>
          <w:p w:rsidR="00A314C9" w:rsidRDefault="00A314C9" w:rsidP="00694F2E">
            <w:pPr>
              <w:jc w:val="right"/>
              <w:rPr>
                <w:rFonts w:cs="Arial"/>
              </w:rPr>
            </w:pPr>
          </w:p>
        </w:tc>
        <w:tc>
          <w:tcPr>
            <w:tcW w:w="3592" w:type="dxa"/>
          </w:tcPr>
          <w:p w:rsidR="00A314C9" w:rsidRDefault="0078570D" w:rsidP="00C10750">
            <w:pPr>
              <w:rPr>
                <w:rFonts w:cs="Arial"/>
              </w:rPr>
            </w:pPr>
            <w:r>
              <w:rPr>
                <w:rFonts w:cs="Arial"/>
              </w:rPr>
              <w:t>Investigation has determined that a discount or exemption entitlement is inaccurate.</w:t>
            </w:r>
          </w:p>
        </w:tc>
      </w:tr>
      <w:tr w:rsidR="00A314C9" w:rsidTr="00E96638">
        <w:tc>
          <w:tcPr>
            <w:tcW w:w="2056" w:type="dxa"/>
          </w:tcPr>
          <w:p w:rsidR="00A314C9" w:rsidRDefault="0078570D" w:rsidP="0078570D">
            <w:pPr>
              <w:rPr>
                <w:rFonts w:cs="Arial"/>
              </w:rPr>
            </w:pPr>
            <w:r>
              <w:rPr>
                <w:rFonts w:cs="Arial"/>
              </w:rPr>
              <w:t>Non Domestic Rates</w:t>
            </w:r>
          </w:p>
        </w:tc>
        <w:tc>
          <w:tcPr>
            <w:tcW w:w="1617" w:type="dxa"/>
          </w:tcPr>
          <w:p w:rsidR="00A314C9" w:rsidRDefault="0078570D" w:rsidP="00694F2E">
            <w:pPr>
              <w:jc w:val="right"/>
              <w:rPr>
                <w:rFonts w:cs="Arial"/>
              </w:rPr>
            </w:pPr>
            <w:r>
              <w:rPr>
                <w:rFonts w:cs="Arial"/>
              </w:rPr>
              <w:t>308,939</w:t>
            </w:r>
          </w:p>
        </w:tc>
        <w:tc>
          <w:tcPr>
            <w:tcW w:w="1257" w:type="dxa"/>
          </w:tcPr>
          <w:p w:rsidR="00A314C9" w:rsidRDefault="00A314C9" w:rsidP="00694F2E">
            <w:pPr>
              <w:jc w:val="right"/>
              <w:rPr>
                <w:rFonts w:cs="Arial"/>
              </w:rPr>
            </w:pPr>
          </w:p>
        </w:tc>
        <w:tc>
          <w:tcPr>
            <w:tcW w:w="3592" w:type="dxa"/>
          </w:tcPr>
          <w:p w:rsidR="00A314C9" w:rsidRDefault="0078570D" w:rsidP="00C10750">
            <w:pPr>
              <w:rPr>
                <w:rFonts w:cs="Arial"/>
              </w:rPr>
            </w:pPr>
            <w:r>
              <w:rPr>
                <w:rFonts w:cs="Arial"/>
              </w:rPr>
              <w:t>Investigation work has resulted in the discovery of unregistered business premises and the identification of reductions where no entitlement exists</w:t>
            </w:r>
          </w:p>
        </w:tc>
      </w:tr>
      <w:tr w:rsidR="00A314C9" w:rsidTr="00E96638">
        <w:tc>
          <w:tcPr>
            <w:tcW w:w="2056" w:type="dxa"/>
          </w:tcPr>
          <w:p w:rsidR="00A314C9" w:rsidRDefault="0078570D" w:rsidP="00C10750">
            <w:pPr>
              <w:rPr>
                <w:rFonts w:cs="Arial"/>
              </w:rPr>
            </w:pPr>
            <w:r>
              <w:rPr>
                <w:rFonts w:cs="Arial"/>
              </w:rPr>
              <w:t>Properties Recovered</w:t>
            </w:r>
          </w:p>
        </w:tc>
        <w:tc>
          <w:tcPr>
            <w:tcW w:w="1617" w:type="dxa"/>
          </w:tcPr>
          <w:p w:rsidR="00A314C9" w:rsidRDefault="00A314C9" w:rsidP="00694F2E">
            <w:pPr>
              <w:jc w:val="right"/>
              <w:rPr>
                <w:rFonts w:cs="Arial"/>
              </w:rPr>
            </w:pPr>
          </w:p>
        </w:tc>
        <w:tc>
          <w:tcPr>
            <w:tcW w:w="1257" w:type="dxa"/>
          </w:tcPr>
          <w:p w:rsidR="00A314C9" w:rsidRDefault="0078570D" w:rsidP="00694F2E">
            <w:pPr>
              <w:jc w:val="right"/>
              <w:rPr>
                <w:rFonts w:cs="Arial"/>
              </w:rPr>
            </w:pPr>
            <w:r>
              <w:rPr>
                <w:rFonts w:cs="Arial"/>
              </w:rPr>
              <w:t>108,000</w:t>
            </w:r>
          </w:p>
        </w:tc>
        <w:tc>
          <w:tcPr>
            <w:tcW w:w="3592" w:type="dxa"/>
          </w:tcPr>
          <w:p w:rsidR="00A314C9" w:rsidRDefault="0078570D" w:rsidP="00AB4D1C">
            <w:pPr>
              <w:rPr>
                <w:rFonts w:cs="Arial"/>
              </w:rPr>
            </w:pPr>
            <w:r>
              <w:rPr>
                <w:rFonts w:cs="Arial"/>
              </w:rPr>
              <w:t xml:space="preserve">The cost of keeping a family in temporary accommodation </w:t>
            </w:r>
            <w:r w:rsidR="00AB4D1C">
              <w:rPr>
                <w:rFonts w:cs="Arial"/>
              </w:rPr>
              <w:t>for one year as</w:t>
            </w:r>
            <w:r>
              <w:rPr>
                <w:rFonts w:cs="Arial"/>
              </w:rPr>
              <w:t xml:space="preserve"> determined by the Audit Commission</w:t>
            </w:r>
            <w:r w:rsidR="00AB4D1C">
              <w:rPr>
                <w:rFonts w:cs="Arial"/>
              </w:rPr>
              <w:t xml:space="preserve"> - </w:t>
            </w:r>
            <w:r>
              <w:rPr>
                <w:rFonts w:cs="Arial"/>
              </w:rPr>
              <w:t>£18,000</w:t>
            </w:r>
            <w:r w:rsidR="00FE7AC5">
              <w:rPr>
                <w:rFonts w:cs="Arial"/>
              </w:rPr>
              <w:t xml:space="preserve"> per property for each of the 6 social houses recovered</w:t>
            </w:r>
          </w:p>
        </w:tc>
      </w:tr>
      <w:tr w:rsidR="00BE4419" w:rsidTr="00E96638">
        <w:tc>
          <w:tcPr>
            <w:tcW w:w="2056" w:type="dxa"/>
          </w:tcPr>
          <w:p w:rsidR="00BE4419" w:rsidRDefault="00BE4419" w:rsidP="00AB4D1C">
            <w:pPr>
              <w:rPr>
                <w:rFonts w:cs="Arial"/>
              </w:rPr>
            </w:pPr>
            <w:r>
              <w:rPr>
                <w:rFonts w:cs="Arial"/>
              </w:rPr>
              <w:t xml:space="preserve">Housing Application </w:t>
            </w:r>
          </w:p>
        </w:tc>
        <w:tc>
          <w:tcPr>
            <w:tcW w:w="1617" w:type="dxa"/>
          </w:tcPr>
          <w:p w:rsidR="00BE4419" w:rsidRDefault="00BE4419" w:rsidP="00694F2E">
            <w:pPr>
              <w:jc w:val="right"/>
              <w:rPr>
                <w:rFonts w:cs="Arial"/>
              </w:rPr>
            </w:pPr>
          </w:p>
        </w:tc>
        <w:tc>
          <w:tcPr>
            <w:tcW w:w="1257" w:type="dxa"/>
          </w:tcPr>
          <w:p w:rsidR="00BE4419" w:rsidRDefault="00BE4419" w:rsidP="00694F2E">
            <w:pPr>
              <w:jc w:val="right"/>
              <w:rPr>
                <w:rFonts w:cs="Arial"/>
              </w:rPr>
            </w:pPr>
            <w:r>
              <w:rPr>
                <w:rFonts w:cs="Arial"/>
              </w:rPr>
              <w:t>18,000</w:t>
            </w:r>
          </w:p>
        </w:tc>
        <w:tc>
          <w:tcPr>
            <w:tcW w:w="3592" w:type="dxa"/>
          </w:tcPr>
          <w:p w:rsidR="00BE4419" w:rsidRDefault="00BE4419" w:rsidP="00BE4419">
            <w:pPr>
              <w:rPr>
                <w:rFonts w:cs="Arial"/>
              </w:rPr>
            </w:pPr>
            <w:r>
              <w:rPr>
                <w:rFonts w:cs="Arial"/>
              </w:rPr>
              <w:t>General Register Housing Application stopped through investigation activity preventing temporary accommodation costs or property allocation</w:t>
            </w:r>
          </w:p>
        </w:tc>
      </w:tr>
      <w:tr w:rsidR="00A314C9" w:rsidTr="00E96638">
        <w:tc>
          <w:tcPr>
            <w:tcW w:w="2056" w:type="dxa"/>
          </w:tcPr>
          <w:p w:rsidR="00A314C9" w:rsidRDefault="00AB4D1C" w:rsidP="00AB4D1C">
            <w:pPr>
              <w:rPr>
                <w:rFonts w:cs="Arial"/>
              </w:rPr>
            </w:pPr>
            <w:r>
              <w:rPr>
                <w:rFonts w:cs="Arial"/>
              </w:rPr>
              <w:t>Compensation from Proceeds of Crime Investigations</w:t>
            </w:r>
          </w:p>
        </w:tc>
        <w:tc>
          <w:tcPr>
            <w:tcW w:w="1617" w:type="dxa"/>
          </w:tcPr>
          <w:p w:rsidR="00A314C9" w:rsidRDefault="00AB4D1C" w:rsidP="00694F2E">
            <w:pPr>
              <w:jc w:val="right"/>
              <w:rPr>
                <w:rFonts w:cs="Arial"/>
              </w:rPr>
            </w:pPr>
            <w:r>
              <w:rPr>
                <w:rFonts w:cs="Arial"/>
              </w:rPr>
              <w:t>23,978</w:t>
            </w:r>
          </w:p>
        </w:tc>
        <w:tc>
          <w:tcPr>
            <w:tcW w:w="1257" w:type="dxa"/>
          </w:tcPr>
          <w:p w:rsidR="00A314C9" w:rsidRDefault="00A314C9" w:rsidP="00694F2E">
            <w:pPr>
              <w:jc w:val="right"/>
              <w:rPr>
                <w:rFonts w:cs="Arial"/>
              </w:rPr>
            </w:pPr>
          </w:p>
        </w:tc>
        <w:tc>
          <w:tcPr>
            <w:tcW w:w="3592" w:type="dxa"/>
          </w:tcPr>
          <w:p w:rsidR="00A314C9" w:rsidRDefault="00AB4D1C" w:rsidP="00AB4D1C">
            <w:pPr>
              <w:rPr>
                <w:rFonts w:cs="Arial"/>
              </w:rPr>
            </w:pPr>
            <w:r>
              <w:rPr>
                <w:rFonts w:cs="Arial"/>
              </w:rPr>
              <w:t>From capital identified during the course of a criminal investigation, bank accounts frozen and funds confiscated after successful prosecution</w:t>
            </w:r>
          </w:p>
        </w:tc>
      </w:tr>
      <w:tr w:rsidR="00A314C9" w:rsidTr="00E96638">
        <w:tc>
          <w:tcPr>
            <w:tcW w:w="2056" w:type="dxa"/>
          </w:tcPr>
          <w:p w:rsidR="00A314C9" w:rsidRDefault="00AB4D1C" w:rsidP="00AB4D1C">
            <w:pPr>
              <w:jc w:val="right"/>
              <w:rPr>
                <w:rFonts w:cs="Arial"/>
              </w:rPr>
            </w:pPr>
            <w:r>
              <w:rPr>
                <w:rFonts w:cs="Arial"/>
              </w:rPr>
              <w:t>Totals</w:t>
            </w:r>
          </w:p>
        </w:tc>
        <w:tc>
          <w:tcPr>
            <w:tcW w:w="1617" w:type="dxa"/>
          </w:tcPr>
          <w:p w:rsidR="00A314C9" w:rsidRPr="00AB4D1C" w:rsidRDefault="00AB4D1C" w:rsidP="00694F2E">
            <w:pPr>
              <w:jc w:val="right"/>
              <w:rPr>
                <w:rFonts w:cs="Arial"/>
                <w:b/>
              </w:rPr>
            </w:pPr>
            <w:r w:rsidRPr="00AB4D1C">
              <w:rPr>
                <w:rFonts w:cs="Arial"/>
                <w:b/>
              </w:rPr>
              <w:t>357,786</w:t>
            </w:r>
          </w:p>
        </w:tc>
        <w:tc>
          <w:tcPr>
            <w:tcW w:w="1257" w:type="dxa"/>
          </w:tcPr>
          <w:p w:rsidR="00A314C9" w:rsidRPr="00AB4D1C" w:rsidRDefault="00AB4D1C" w:rsidP="00694F2E">
            <w:pPr>
              <w:jc w:val="right"/>
              <w:rPr>
                <w:rFonts w:cs="Arial"/>
                <w:b/>
              </w:rPr>
            </w:pPr>
            <w:r w:rsidRPr="00AB4D1C">
              <w:rPr>
                <w:rFonts w:cs="Arial"/>
                <w:b/>
              </w:rPr>
              <w:t>1</w:t>
            </w:r>
            <w:r w:rsidR="00BE4419">
              <w:rPr>
                <w:rFonts w:cs="Arial"/>
                <w:b/>
              </w:rPr>
              <w:t>31</w:t>
            </w:r>
            <w:r w:rsidRPr="00AB4D1C">
              <w:rPr>
                <w:rFonts w:cs="Arial"/>
                <w:b/>
              </w:rPr>
              <w:t>,897</w:t>
            </w:r>
          </w:p>
        </w:tc>
        <w:tc>
          <w:tcPr>
            <w:tcW w:w="3592" w:type="dxa"/>
          </w:tcPr>
          <w:p w:rsidR="00A314C9" w:rsidRPr="00AB4D1C" w:rsidRDefault="00AB4D1C" w:rsidP="00BE4419">
            <w:pPr>
              <w:jc w:val="center"/>
              <w:rPr>
                <w:rFonts w:cs="Arial"/>
                <w:b/>
              </w:rPr>
            </w:pPr>
            <w:r w:rsidRPr="00AB4D1C">
              <w:rPr>
                <w:rFonts w:cs="Arial"/>
                <w:b/>
              </w:rPr>
              <w:t>4</w:t>
            </w:r>
            <w:r w:rsidR="00BE4419">
              <w:rPr>
                <w:rFonts w:cs="Arial"/>
                <w:b/>
              </w:rPr>
              <w:t>89</w:t>
            </w:r>
            <w:r w:rsidRPr="00AB4D1C">
              <w:rPr>
                <w:rFonts w:cs="Arial"/>
                <w:b/>
              </w:rPr>
              <w:t>,683</w:t>
            </w:r>
          </w:p>
        </w:tc>
      </w:tr>
    </w:tbl>
    <w:p w:rsidR="00694F2E" w:rsidRDefault="00694F2E" w:rsidP="00C10750">
      <w:pPr>
        <w:rPr>
          <w:rFonts w:cs="Arial"/>
        </w:rPr>
      </w:pPr>
    </w:p>
    <w:p w:rsidR="00694F2E" w:rsidRDefault="00694F2E" w:rsidP="00C10750">
      <w:pPr>
        <w:rPr>
          <w:rFonts w:cs="Arial"/>
        </w:rPr>
      </w:pPr>
    </w:p>
    <w:p w:rsidR="001E6847" w:rsidRDefault="00225E90" w:rsidP="00225E90">
      <w:pPr>
        <w:pStyle w:val="ListParagraph"/>
        <w:numPr>
          <w:ilvl w:val="0"/>
          <w:numId w:val="2"/>
        </w:numPr>
        <w:rPr>
          <w:rFonts w:cs="Arial"/>
        </w:rPr>
      </w:pPr>
      <w:r>
        <w:rPr>
          <w:rFonts w:cs="Arial"/>
        </w:rPr>
        <w:lastRenderedPageBreak/>
        <w:t>Other areas of</w:t>
      </w:r>
      <w:r w:rsidR="00EE4D96">
        <w:rPr>
          <w:rFonts w:cs="Arial"/>
        </w:rPr>
        <w:t xml:space="preserve"> activity during</w:t>
      </w:r>
      <w:r w:rsidR="00006D48">
        <w:rPr>
          <w:rFonts w:cs="Arial"/>
        </w:rPr>
        <w:t xml:space="preserve"> April and May 2015</w:t>
      </w:r>
      <w:r w:rsidR="00EE4D96">
        <w:rPr>
          <w:rFonts w:cs="Arial"/>
        </w:rPr>
        <w:t xml:space="preserve"> included</w:t>
      </w:r>
      <w:r w:rsidR="00C129E2">
        <w:rPr>
          <w:rFonts w:cs="Arial"/>
        </w:rPr>
        <w:t>:</w:t>
      </w:r>
    </w:p>
    <w:p w:rsidR="001E6847" w:rsidRPr="001E6847" w:rsidRDefault="001E6847" w:rsidP="001E6847">
      <w:pPr>
        <w:pStyle w:val="ListParagraph"/>
        <w:rPr>
          <w:rFonts w:cs="Arial"/>
        </w:rPr>
      </w:pPr>
    </w:p>
    <w:p w:rsidR="001E6847" w:rsidRDefault="00486F1C" w:rsidP="00647D15">
      <w:pPr>
        <w:pStyle w:val="ListParagraph"/>
        <w:numPr>
          <w:ilvl w:val="1"/>
          <w:numId w:val="2"/>
        </w:numPr>
        <w:spacing w:before="120"/>
        <w:rPr>
          <w:rFonts w:cs="Arial"/>
        </w:rPr>
      </w:pPr>
      <w:r>
        <w:rPr>
          <w:rFonts w:cs="Arial"/>
        </w:rPr>
        <w:t>1</w:t>
      </w:r>
      <w:r w:rsidR="00225E90">
        <w:rPr>
          <w:rFonts w:cs="Arial"/>
        </w:rPr>
        <w:t xml:space="preserve"> caution</w:t>
      </w:r>
      <w:r>
        <w:rPr>
          <w:rFonts w:cs="Arial"/>
        </w:rPr>
        <w:t xml:space="preserve"> </w:t>
      </w:r>
      <w:r w:rsidR="00225E90">
        <w:rPr>
          <w:rFonts w:cs="Arial"/>
        </w:rPr>
        <w:t>administered in respect of Counci</w:t>
      </w:r>
      <w:r>
        <w:rPr>
          <w:rFonts w:cs="Arial"/>
        </w:rPr>
        <w:t>l Tax Reduction Scheme offences</w:t>
      </w:r>
    </w:p>
    <w:p w:rsidR="002A48DC" w:rsidRPr="00AD7E29" w:rsidRDefault="000F6C67" w:rsidP="00AD7E29">
      <w:pPr>
        <w:pStyle w:val="ListParagraph"/>
        <w:numPr>
          <w:ilvl w:val="1"/>
          <w:numId w:val="2"/>
        </w:numPr>
        <w:spacing w:before="120"/>
        <w:rPr>
          <w:rFonts w:cs="Arial"/>
        </w:rPr>
      </w:pPr>
      <w:r w:rsidRPr="00AD7E29">
        <w:rPr>
          <w:rFonts w:cs="Arial"/>
        </w:rPr>
        <w:t xml:space="preserve">4 </w:t>
      </w:r>
      <w:r w:rsidR="00EE4D96" w:rsidRPr="00AD7E29">
        <w:rPr>
          <w:rFonts w:cs="Arial"/>
        </w:rPr>
        <w:t xml:space="preserve">successful </w:t>
      </w:r>
      <w:r w:rsidRPr="00AD7E29">
        <w:rPr>
          <w:rFonts w:cs="Arial"/>
        </w:rPr>
        <w:t>prosecution</w:t>
      </w:r>
      <w:r w:rsidR="00EE4D96" w:rsidRPr="00AD7E29">
        <w:rPr>
          <w:rFonts w:cs="Arial"/>
        </w:rPr>
        <w:t>s</w:t>
      </w:r>
      <w:r w:rsidRPr="00AD7E29">
        <w:rPr>
          <w:rFonts w:cs="Arial"/>
        </w:rPr>
        <w:t xml:space="preserve"> relating to residual Housing Benefit cases and Council Tax Reduction Scheme cases. P</w:t>
      </w:r>
      <w:r w:rsidR="002A48DC" w:rsidRPr="00AD7E29">
        <w:rPr>
          <w:rFonts w:cs="Arial"/>
        </w:rPr>
        <w:t xml:space="preserve">ress releases </w:t>
      </w:r>
      <w:r w:rsidRPr="00AD7E29">
        <w:rPr>
          <w:rFonts w:cs="Arial"/>
        </w:rPr>
        <w:t>prepared and issued for all prosecutions.</w:t>
      </w:r>
    </w:p>
    <w:p w:rsidR="00D71587" w:rsidRPr="004C5B6A" w:rsidRDefault="00D71587" w:rsidP="00AD7E29">
      <w:pPr>
        <w:pStyle w:val="ListParagraph"/>
        <w:numPr>
          <w:ilvl w:val="1"/>
          <w:numId w:val="2"/>
        </w:numPr>
        <w:rPr>
          <w:rFonts w:cs="Arial"/>
          <w:b/>
        </w:rPr>
      </w:pPr>
      <w:r>
        <w:rPr>
          <w:rFonts w:cs="Arial"/>
        </w:rPr>
        <w:t xml:space="preserve">In April, recommendations for improvements were made in the Housing Application process where a potential vulnerability was identified. </w:t>
      </w:r>
    </w:p>
    <w:p w:rsidR="00D71587" w:rsidRPr="00AD7E29" w:rsidRDefault="00D71587" w:rsidP="00AD7E29">
      <w:pPr>
        <w:pStyle w:val="ListParagraph"/>
        <w:numPr>
          <w:ilvl w:val="1"/>
          <w:numId w:val="2"/>
        </w:numPr>
        <w:rPr>
          <w:rFonts w:cs="Arial"/>
          <w:b/>
        </w:rPr>
      </w:pPr>
      <w:r w:rsidRPr="00AD7E29">
        <w:rPr>
          <w:rFonts w:cs="Arial"/>
        </w:rPr>
        <w:t>In May, Procurement revised the new creditor set-up process and the Investigation team devised a secure approach for ensuring information provided by suppliers is accurate.</w:t>
      </w:r>
    </w:p>
    <w:p w:rsidR="00235785" w:rsidRDefault="00235785" w:rsidP="002A48DC">
      <w:pPr>
        <w:rPr>
          <w:rFonts w:cs="Arial"/>
          <w:b/>
        </w:rPr>
      </w:pPr>
    </w:p>
    <w:p w:rsidR="00302A89" w:rsidRDefault="00302A89" w:rsidP="00036F46">
      <w:pPr>
        <w:rPr>
          <w:rFonts w:cs="Arial"/>
          <w:b/>
        </w:rPr>
      </w:pPr>
      <w:r>
        <w:rPr>
          <w:rFonts w:cs="Arial"/>
          <w:b/>
        </w:rPr>
        <w:t xml:space="preserve">     </w:t>
      </w:r>
      <w:r w:rsidR="00A35036" w:rsidRPr="00A35036">
        <w:rPr>
          <w:rFonts w:cs="Arial"/>
          <w:b/>
        </w:rPr>
        <w:t>D</w:t>
      </w:r>
      <w:r w:rsidR="0040038D">
        <w:rPr>
          <w:rFonts w:cs="Arial"/>
          <w:b/>
        </w:rPr>
        <w:t>epartment for Communities and Local Government</w:t>
      </w:r>
      <w:r w:rsidR="00A35036" w:rsidRPr="00A35036">
        <w:rPr>
          <w:rFonts w:cs="Arial"/>
          <w:b/>
        </w:rPr>
        <w:t xml:space="preserve"> </w:t>
      </w:r>
      <w:r w:rsidR="0040038D">
        <w:rPr>
          <w:rFonts w:cs="Arial"/>
          <w:b/>
        </w:rPr>
        <w:t>Grant</w:t>
      </w:r>
      <w:r w:rsidR="00140080">
        <w:rPr>
          <w:rFonts w:cs="Arial"/>
          <w:b/>
        </w:rPr>
        <w:t xml:space="preserve"> (DCLG)</w:t>
      </w:r>
      <w:r w:rsidR="0040038D">
        <w:rPr>
          <w:rFonts w:cs="Arial"/>
          <w:b/>
        </w:rPr>
        <w:t xml:space="preserve"> </w:t>
      </w:r>
      <w:r>
        <w:rPr>
          <w:rFonts w:cs="Arial"/>
          <w:b/>
        </w:rPr>
        <w:t xml:space="preserve">  </w:t>
      </w:r>
    </w:p>
    <w:p w:rsidR="00A35036" w:rsidRPr="00A35036" w:rsidRDefault="00A35036" w:rsidP="00302A89">
      <w:pPr>
        <w:ind w:firstLine="360"/>
        <w:rPr>
          <w:rFonts w:cs="Arial"/>
          <w:b/>
        </w:rPr>
      </w:pPr>
      <w:r w:rsidRPr="00A35036">
        <w:rPr>
          <w:rFonts w:cs="Arial"/>
          <w:b/>
        </w:rPr>
        <w:t>Funding / Fraud Hub</w:t>
      </w:r>
    </w:p>
    <w:p w:rsidR="00302A89" w:rsidRPr="00302A89" w:rsidRDefault="00302A89" w:rsidP="00302A89">
      <w:pPr>
        <w:rPr>
          <w:rFonts w:cs="Arial"/>
        </w:rPr>
      </w:pPr>
    </w:p>
    <w:p w:rsidR="00235785" w:rsidRPr="00E35866" w:rsidRDefault="00235785" w:rsidP="00E35866">
      <w:pPr>
        <w:pStyle w:val="ListParagraph"/>
        <w:numPr>
          <w:ilvl w:val="0"/>
          <w:numId w:val="2"/>
        </w:numPr>
        <w:rPr>
          <w:rFonts w:cs="Arial"/>
        </w:rPr>
      </w:pPr>
      <w:r w:rsidRPr="00E35866">
        <w:rPr>
          <w:rFonts w:cs="Arial"/>
        </w:rPr>
        <w:t>A number of actions connected to the i</w:t>
      </w:r>
      <w:r w:rsidR="00BC7BE2" w:rsidRPr="00E35866">
        <w:rPr>
          <w:rFonts w:cs="Arial"/>
        </w:rPr>
        <w:t>mplementation</w:t>
      </w:r>
      <w:r w:rsidRPr="00E35866">
        <w:rPr>
          <w:rFonts w:cs="Arial"/>
        </w:rPr>
        <w:t xml:space="preserve"> and project </w:t>
      </w:r>
      <w:r w:rsidR="00140080" w:rsidRPr="00E35866">
        <w:rPr>
          <w:rFonts w:cs="Arial"/>
        </w:rPr>
        <w:t xml:space="preserve">plans </w:t>
      </w:r>
      <w:r w:rsidRPr="00E35866">
        <w:rPr>
          <w:rFonts w:cs="Arial"/>
        </w:rPr>
        <w:t xml:space="preserve">have taken place to develop the service. Some </w:t>
      </w:r>
      <w:r w:rsidR="000168F7" w:rsidRPr="00E35866">
        <w:rPr>
          <w:rFonts w:cs="Arial"/>
        </w:rPr>
        <w:t>notable</w:t>
      </w:r>
      <w:r w:rsidRPr="00E35866">
        <w:rPr>
          <w:rFonts w:cs="Arial"/>
        </w:rPr>
        <w:t xml:space="preserve"> components of this are:</w:t>
      </w:r>
    </w:p>
    <w:p w:rsidR="00235785" w:rsidRDefault="00235785" w:rsidP="00235785">
      <w:pPr>
        <w:pStyle w:val="ListParagraph"/>
        <w:numPr>
          <w:ilvl w:val="0"/>
          <w:numId w:val="15"/>
        </w:numPr>
        <w:rPr>
          <w:rFonts w:cs="Arial"/>
        </w:rPr>
      </w:pPr>
      <w:r>
        <w:rPr>
          <w:rFonts w:cs="Arial"/>
        </w:rPr>
        <w:t xml:space="preserve">Fixed Term </w:t>
      </w:r>
      <w:r w:rsidR="000168F7">
        <w:rPr>
          <w:rFonts w:cs="Arial"/>
        </w:rPr>
        <w:t>part-time</w:t>
      </w:r>
      <w:r w:rsidR="001850B6">
        <w:rPr>
          <w:rFonts w:cs="Arial"/>
        </w:rPr>
        <w:t xml:space="preserve"> </w:t>
      </w:r>
      <w:r w:rsidR="000168F7">
        <w:rPr>
          <w:rFonts w:cs="Arial"/>
        </w:rPr>
        <w:t>Legal O</w:t>
      </w:r>
      <w:r>
        <w:rPr>
          <w:rFonts w:cs="Arial"/>
        </w:rPr>
        <w:t xml:space="preserve">fficer </w:t>
      </w:r>
      <w:r w:rsidR="001850B6">
        <w:rPr>
          <w:rFonts w:cs="Arial"/>
        </w:rPr>
        <w:t>appointe</w:t>
      </w:r>
      <w:r>
        <w:rPr>
          <w:rFonts w:cs="Arial"/>
        </w:rPr>
        <w:t xml:space="preserve">d within Legal Services </w:t>
      </w:r>
    </w:p>
    <w:p w:rsidR="00235785" w:rsidRDefault="00235785" w:rsidP="00235785">
      <w:pPr>
        <w:pStyle w:val="ListParagraph"/>
        <w:numPr>
          <w:ilvl w:val="0"/>
          <w:numId w:val="15"/>
        </w:numPr>
        <w:rPr>
          <w:rFonts w:cs="Arial"/>
        </w:rPr>
      </w:pPr>
      <w:r>
        <w:rPr>
          <w:rFonts w:cs="Arial"/>
        </w:rPr>
        <w:t xml:space="preserve">Intelligence Officer recruited within the </w:t>
      </w:r>
      <w:r w:rsidR="001660D3">
        <w:rPr>
          <w:rFonts w:cs="Arial"/>
        </w:rPr>
        <w:t>I</w:t>
      </w:r>
      <w:r>
        <w:rPr>
          <w:rFonts w:cs="Arial"/>
        </w:rPr>
        <w:t>nvestigation Team</w:t>
      </w:r>
    </w:p>
    <w:p w:rsidR="00235785" w:rsidRDefault="00753DFC" w:rsidP="00235785">
      <w:pPr>
        <w:pStyle w:val="ListParagraph"/>
        <w:numPr>
          <w:ilvl w:val="0"/>
          <w:numId w:val="15"/>
        </w:numPr>
        <w:rPr>
          <w:rFonts w:cs="Arial"/>
        </w:rPr>
      </w:pPr>
      <w:r>
        <w:rPr>
          <w:rFonts w:cs="Arial"/>
        </w:rPr>
        <w:t>Training delivered to enhance the generic skill sets of the Investigation Team, with further training booked</w:t>
      </w:r>
    </w:p>
    <w:p w:rsidR="00753DFC" w:rsidRDefault="00753DFC" w:rsidP="00235785">
      <w:pPr>
        <w:pStyle w:val="ListParagraph"/>
        <w:numPr>
          <w:ilvl w:val="0"/>
          <w:numId w:val="15"/>
        </w:numPr>
        <w:rPr>
          <w:rFonts w:cs="Arial"/>
        </w:rPr>
      </w:pPr>
      <w:r>
        <w:rPr>
          <w:rFonts w:cs="Arial"/>
        </w:rPr>
        <w:t>Business Agreement developed and issued to South Oxfordshire District Council and Vale of White Horse District Council for provision of</w:t>
      </w:r>
      <w:r w:rsidR="000168F7">
        <w:rPr>
          <w:rFonts w:cs="Arial"/>
        </w:rPr>
        <w:t xml:space="preserve"> corporate</w:t>
      </w:r>
      <w:r>
        <w:rPr>
          <w:rFonts w:cs="Arial"/>
        </w:rPr>
        <w:t xml:space="preserve"> investigation services</w:t>
      </w:r>
    </w:p>
    <w:p w:rsidR="00753DFC" w:rsidRDefault="00753DFC" w:rsidP="00235785">
      <w:pPr>
        <w:pStyle w:val="ListParagraph"/>
        <w:numPr>
          <w:ilvl w:val="0"/>
          <w:numId w:val="15"/>
        </w:numPr>
        <w:rPr>
          <w:rFonts w:cs="Arial"/>
        </w:rPr>
      </w:pPr>
      <w:r>
        <w:rPr>
          <w:rFonts w:cs="Arial"/>
        </w:rPr>
        <w:t xml:space="preserve">Meeting with </w:t>
      </w:r>
      <w:r w:rsidR="000168F7">
        <w:rPr>
          <w:rFonts w:cs="Arial"/>
        </w:rPr>
        <w:t xml:space="preserve">Oxfordshire </w:t>
      </w:r>
      <w:r>
        <w:rPr>
          <w:rFonts w:cs="Arial"/>
        </w:rPr>
        <w:t>County Council set for 2</w:t>
      </w:r>
      <w:r w:rsidRPr="00753DFC">
        <w:rPr>
          <w:rFonts w:cs="Arial"/>
          <w:vertAlign w:val="superscript"/>
        </w:rPr>
        <w:t>nd</w:t>
      </w:r>
      <w:r>
        <w:rPr>
          <w:rFonts w:cs="Arial"/>
        </w:rPr>
        <w:t xml:space="preserve"> July 2015 to agree work streams and service standards for the provision of investigation services</w:t>
      </w:r>
    </w:p>
    <w:p w:rsidR="00753DFC" w:rsidRDefault="00753DFC" w:rsidP="00235785">
      <w:pPr>
        <w:pStyle w:val="ListParagraph"/>
        <w:numPr>
          <w:ilvl w:val="0"/>
          <w:numId w:val="15"/>
        </w:numPr>
        <w:rPr>
          <w:rFonts w:cs="Arial"/>
        </w:rPr>
      </w:pPr>
      <w:r>
        <w:rPr>
          <w:rFonts w:cs="Arial"/>
        </w:rPr>
        <w:t>Test Case Management system installed</w:t>
      </w:r>
      <w:r w:rsidR="004A155C">
        <w:rPr>
          <w:rFonts w:cs="Arial"/>
        </w:rPr>
        <w:t xml:space="preserve"> and training delivered</w:t>
      </w:r>
      <w:r>
        <w:rPr>
          <w:rFonts w:cs="Arial"/>
        </w:rPr>
        <w:t xml:space="preserve"> prior to planned go-live date of 29 June 2015</w:t>
      </w:r>
    </w:p>
    <w:p w:rsidR="00694F2E" w:rsidRDefault="00694F2E" w:rsidP="00061BBD">
      <w:pPr>
        <w:rPr>
          <w:rFonts w:cs="Arial"/>
        </w:rPr>
      </w:pPr>
    </w:p>
    <w:p w:rsidR="001974C0" w:rsidRDefault="00302A89" w:rsidP="00061BBD">
      <w:pPr>
        <w:rPr>
          <w:rFonts w:cs="Arial"/>
          <w:b/>
        </w:rPr>
      </w:pPr>
      <w:r>
        <w:rPr>
          <w:rFonts w:cs="Arial"/>
          <w:b/>
        </w:rPr>
        <w:t xml:space="preserve">      </w:t>
      </w:r>
      <w:r w:rsidR="001974C0" w:rsidRPr="00061BBD">
        <w:rPr>
          <w:rFonts w:cs="Arial"/>
          <w:b/>
        </w:rPr>
        <w:t>Fraud and Error Reduction Incentive Scheme (FERIS)</w:t>
      </w:r>
    </w:p>
    <w:p w:rsidR="00302A89" w:rsidRPr="00061BBD" w:rsidRDefault="00302A89" w:rsidP="00061BBD">
      <w:pPr>
        <w:rPr>
          <w:rFonts w:cs="Arial"/>
          <w:b/>
        </w:rPr>
      </w:pPr>
    </w:p>
    <w:p w:rsidR="001974C0" w:rsidRDefault="00364C98" w:rsidP="00E35866">
      <w:pPr>
        <w:pStyle w:val="ListParagraph"/>
        <w:numPr>
          <w:ilvl w:val="0"/>
          <w:numId w:val="2"/>
        </w:numPr>
        <w:rPr>
          <w:rFonts w:cs="Arial"/>
        </w:rPr>
      </w:pPr>
      <w:r>
        <w:rPr>
          <w:rFonts w:cs="Arial"/>
        </w:rPr>
        <w:t xml:space="preserve">The Council </w:t>
      </w:r>
      <w:r w:rsidR="000168F7">
        <w:rPr>
          <w:rFonts w:cs="Arial"/>
        </w:rPr>
        <w:t xml:space="preserve">were successful in bidding </w:t>
      </w:r>
      <w:r>
        <w:rPr>
          <w:rFonts w:cs="Arial"/>
        </w:rPr>
        <w:t xml:space="preserve">to </w:t>
      </w:r>
      <w:r w:rsidR="00061BBD">
        <w:rPr>
          <w:rFonts w:cs="Arial"/>
        </w:rPr>
        <w:t>the Department for Work and Pensions</w:t>
      </w:r>
      <w:r w:rsidR="000168F7">
        <w:rPr>
          <w:rFonts w:cs="Arial"/>
        </w:rPr>
        <w:t xml:space="preserve"> for funds connected to start-up activity</w:t>
      </w:r>
      <w:r w:rsidR="00061BBD">
        <w:rPr>
          <w:rFonts w:cs="Arial"/>
        </w:rPr>
        <w:t xml:space="preserve"> in relation to the FERIS scheme. </w:t>
      </w:r>
      <w:r w:rsidR="000168F7">
        <w:rPr>
          <w:rFonts w:cs="Arial"/>
        </w:rPr>
        <w:t xml:space="preserve">Specifically, this relates to engaging the services of a visiting resource and a </w:t>
      </w:r>
      <w:r w:rsidR="00F65852">
        <w:rPr>
          <w:rFonts w:cs="Arial"/>
        </w:rPr>
        <w:t>b</w:t>
      </w:r>
      <w:r w:rsidR="000168F7">
        <w:rPr>
          <w:rFonts w:cs="Arial"/>
        </w:rPr>
        <w:t>enefi</w:t>
      </w:r>
      <w:r w:rsidR="001850B6">
        <w:rPr>
          <w:rFonts w:cs="Arial"/>
        </w:rPr>
        <w:t>t processing resource to review Housing Benefit claims.</w:t>
      </w:r>
    </w:p>
    <w:p w:rsidR="001850B6" w:rsidRDefault="001850B6" w:rsidP="001850B6">
      <w:pPr>
        <w:rPr>
          <w:rFonts w:cs="Arial"/>
        </w:rPr>
      </w:pPr>
    </w:p>
    <w:p w:rsidR="001850B6" w:rsidRDefault="001850B6" w:rsidP="00E35866">
      <w:pPr>
        <w:pStyle w:val="ListParagraph"/>
        <w:numPr>
          <w:ilvl w:val="0"/>
          <w:numId w:val="2"/>
        </w:numPr>
        <w:rPr>
          <w:rFonts w:cs="Arial"/>
        </w:rPr>
      </w:pPr>
      <w:r>
        <w:rPr>
          <w:rFonts w:cs="Arial"/>
        </w:rPr>
        <w:t xml:space="preserve">The aim of the FERIS scheme is to reduce the overall level of Housing Benefit spend by identifying </w:t>
      </w:r>
      <w:r w:rsidR="00365ADB">
        <w:rPr>
          <w:rFonts w:cs="Arial"/>
        </w:rPr>
        <w:t>errors and unreported changes in customer circumstances that may have gone undetected without intervention.</w:t>
      </w:r>
    </w:p>
    <w:p w:rsidR="00365ADB" w:rsidRPr="00365ADB" w:rsidRDefault="00365ADB" w:rsidP="00365ADB">
      <w:pPr>
        <w:pStyle w:val="ListParagraph"/>
        <w:rPr>
          <w:rFonts w:cs="Arial"/>
        </w:rPr>
      </w:pPr>
    </w:p>
    <w:p w:rsidR="00365ADB" w:rsidRPr="001850B6" w:rsidRDefault="00365ADB" w:rsidP="00E35866">
      <w:pPr>
        <w:pStyle w:val="ListParagraph"/>
        <w:numPr>
          <w:ilvl w:val="0"/>
          <w:numId w:val="2"/>
        </w:numPr>
        <w:rPr>
          <w:rFonts w:cs="Arial"/>
        </w:rPr>
      </w:pPr>
      <w:r>
        <w:rPr>
          <w:rFonts w:cs="Arial"/>
        </w:rPr>
        <w:t xml:space="preserve">An application </w:t>
      </w:r>
      <w:r w:rsidR="00F65852">
        <w:rPr>
          <w:rFonts w:cs="Arial"/>
        </w:rPr>
        <w:t>to</w:t>
      </w:r>
      <w:r>
        <w:rPr>
          <w:rFonts w:cs="Arial"/>
        </w:rPr>
        <w:t xml:space="preserve"> the FERIS Maintenance fund </w:t>
      </w:r>
      <w:r w:rsidR="00B34927">
        <w:rPr>
          <w:rFonts w:cs="Arial"/>
        </w:rPr>
        <w:t>was</w:t>
      </w:r>
      <w:r>
        <w:rPr>
          <w:rFonts w:cs="Arial"/>
        </w:rPr>
        <w:t xml:space="preserve"> submitted to the DWP </w:t>
      </w:r>
      <w:r w:rsidR="00B34927">
        <w:rPr>
          <w:rFonts w:cs="Arial"/>
        </w:rPr>
        <w:t xml:space="preserve">in June </w:t>
      </w:r>
      <w:r>
        <w:rPr>
          <w:rFonts w:cs="Arial"/>
        </w:rPr>
        <w:t xml:space="preserve">to support the continuation of activities </w:t>
      </w:r>
      <w:r w:rsidR="00B34927">
        <w:rPr>
          <w:rFonts w:cs="Arial"/>
        </w:rPr>
        <w:t>bid for in</w:t>
      </w:r>
      <w:r>
        <w:rPr>
          <w:rFonts w:cs="Arial"/>
        </w:rPr>
        <w:t xml:space="preserve"> start-up funding.</w:t>
      </w:r>
    </w:p>
    <w:p w:rsidR="00617287" w:rsidRDefault="00617287" w:rsidP="00617287">
      <w:pPr>
        <w:pStyle w:val="ListParagraph"/>
        <w:rPr>
          <w:rFonts w:cs="Arial"/>
        </w:rPr>
      </w:pPr>
    </w:p>
    <w:p w:rsidR="00E35866" w:rsidRPr="00617287" w:rsidRDefault="00E35866" w:rsidP="00617287">
      <w:pPr>
        <w:pStyle w:val="ListParagraph"/>
        <w:rPr>
          <w:rFonts w:cs="Arial"/>
        </w:rPr>
      </w:pPr>
    </w:p>
    <w:p w:rsidR="00617287" w:rsidRDefault="00617287" w:rsidP="00E35866">
      <w:pPr>
        <w:pStyle w:val="ListParagraph"/>
        <w:numPr>
          <w:ilvl w:val="0"/>
          <w:numId w:val="2"/>
        </w:numPr>
        <w:rPr>
          <w:rFonts w:cs="Arial"/>
        </w:rPr>
      </w:pPr>
      <w:r>
        <w:rPr>
          <w:rFonts w:cs="Arial"/>
        </w:rPr>
        <w:lastRenderedPageBreak/>
        <w:t xml:space="preserve">South and Vale </w:t>
      </w:r>
      <w:r w:rsidR="00AC5264">
        <w:rPr>
          <w:rFonts w:cs="Arial"/>
        </w:rPr>
        <w:t>District Councils</w:t>
      </w:r>
      <w:r w:rsidR="00365ADB">
        <w:rPr>
          <w:rFonts w:cs="Arial"/>
        </w:rPr>
        <w:t xml:space="preserve"> are awaiting the outcome of maintenance fund bid applications and if successful, </w:t>
      </w:r>
      <w:r>
        <w:rPr>
          <w:rFonts w:cs="Arial"/>
        </w:rPr>
        <w:t xml:space="preserve">Oxford City Council </w:t>
      </w:r>
      <w:r w:rsidR="00365ADB">
        <w:rPr>
          <w:rFonts w:cs="Arial"/>
        </w:rPr>
        <w:t>Investigation Team will be asked to manage and deliver the FERIS visiting activity</w:t>
      </w:r>
      <w:r w:rsidR="00B34927">
        <w:rPr>
          <w:rFonts w:cs="Arial"/>
        </w:rPr>
        <w:t xml:space="preserve"> on their behalf</w:t>
      </w:r>
      <w:r w:rsidR="00FE7AC5">
        <w:rPr>
          <w:rFonts w:cs="Arial"/>
        </w:rPr>
        <w:t xml:space="preserve"> for which South and Vale will be invoiced</w:t>
      </w:r>
      <w:r w:rsidR="00694F2E">
        <w:rPr>
          <w:rFonts w:cs="Arial"/>
        </w:rPr>
        <w:t>.</w:t>
      </w:r>
    </w:p>
    <w:p w:rsidR="00E35866" w:rsidRPr="00E87C12" w:rsidRDefault="00E35866" w:rsidP="00E87C12">
      <w:pPr>
        <w:pStyle w:val="ListParagraph"/>
        <w:rPr>
          <w:rFonts w:cs="Arial"/>
        </w:rPr>
      </w:pPr>
    </w:p>
    <w:p w:rsidR="005F7ECB" w:rsidRDefault="005F7ECB" w:rsidP="003D7522">
      <w:pPr>
        <w:pStyle w:val="ListParagraph"/>
        <w:ind w:hanging="294"/>
        <w:rPr>
          <w:rFonts w:cs="Arial"/>
          <w:b/>
        </w:rPr>
      </w:pPr>
      <w:r w:rsidRPr="003D7522">
        <w:rPr>
          <w:rFonts w:cs="Arial"/>
          <w:b/>
        </w:rPr>
        <w:t>Legal Implications</w:t>
      </w:r>
    </w:p>
    <w:p w:rsidR="00302A89" w:rsidRPr="003D7522" w:rsidRDefault="00302A89" w:rsidP="003D7522">
      <w:pPr>
        <w:pStyle w:val="ListParagraph"/>
        <w:ind w:hanging="294"/>
        <w:rPr>
          <w:rFonts w:cs="Arial"/>
          <w:b/>
        </w:rPr>
      </w:pPr>
    </w:p>
    <w:p w:rsidR="00492497" w:rsidRPr="00E35866" w:rsidRDefault="00492497" w:rsidP="00E35866">
      <w:pPr>
        <w:pStyle w:val="ListParagraph"/>
        <w:numPr>
          <w:ilvl w:val="0"/>
          <w:numId w:val="2"/>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p>
    <w:p w:rsidR="00694F2E" w:rsidRDefault="00694F2E">
      <w:pPr>
        <w:rPr>
          <w:rFonts w:cs="Arial"/>
          <w:i/>
        </w:rPr>
      </w:pPr>
    </w:p>
    <w:p w:rsidR="007B6E54" w:rsidRDefault="00115173">
      <w:pPr>
        <w:rPr>
          <w:rFonts w:cs="Arial"/>
          <w:b/>
        </w:rPr>
      </w:pPr>
      <w:r>
        <w:rPr>
          <w:rFonts w:cs="Arial"/>
          <w:b/>
        </w:rPr>
        <w:t xml:space="preserve">      </w:t>
      </w:r>
      <w:r w:rsidR="006109E8">
        <w:rPr>
          <w:rFonts w:cs="Arial"/>
          <w:b/>
        </w:rPr>
        <w:t>Fi</w:t>
      </w:r>
      <w:r w:rsidR="007B6E54" w:rsidRPr="007B6E54">
        <w:rPr>
          <w:rFonts w:cs="Arial"/>
          <w:b/>
        </w:rPr>
        <w:t>nancial I</w:t>
      </w:r>
      <w:r w:rsidR="006109E8">
        <w:rPr>
          <w:rFonts w:cs="Arial"/>
          <w:b/>
        </w:rPr>
        <w:t>mplications</w:t>
      </w:r>
    </w:p>
    <w:p w:rsidR="00302A89" w:rsidRDefault="00302A89">
      <w:pPr>
        <w:rPr>
          <w:rFonts w:cs="Arial"/>
          <w:b/>
        </w:rPr>
      </w:pPr>
    </w:p>
    <w:p w:rsidR="005512A2" w:rsidRPr="00350F3A" w:rsidRDefault="006109E8" w:rsidP="00E35866">
      <w:pPr>
        <w:pStyle w:val="ListParagraph"/>
        <w:numPr>
          <w:ilvl w:val="0"/>
          <w:numId w:val="2"/>
        </w:numPr>
        <w:rPr>
          <w:rFonts w:cs="Arial"/>
          <w:b/>
        </w:rPr>
      </w:pPr>
      <w:r w:rsidRPr="00350F3A">
        <w:rPr>
          <w:rFonts w:cs="Arial"/>
        </w:rPr>
        <w:t xml:space="preserve">The budgeted net cost of the team excluding income from the Housing Revenue Account is </w:t>
      </w:r>
      <w:r w:rsidR="007D3155" w:rsidRPr="00350F3A">
        <w:rPr>
          <w:rFonts w:cs="Arial"/>
        </w:rPr>
        <w:t xml:space="preserve">£220,370 </w:t>
      </w:r>
      <w:r w:rsidRPr="00350F3A">
        <w:rPr>
          <w:rFonts w:cs="Arial"/>
        </w:rPr>
        <w:t xml:space="preserve">for 2015/16 and the team are charged with making </w:t>
      </w:r>
      <w:r w:rsidR="00F07FC9">
        <w:rPr>
          <w:rFonts w:cs="Arial"/>
        </w:rPr>
        <w:t>identifying error and loss</w:t>
      </w:r>
      <w:r w:rsidRPr="00350F3A">
        <w:rPr>
          <w:rFonts w:cs="Arial"/>
        </w:rPr>
        <w:t xml:space="preserve"> to</w:t>
      </w:r>
      <w:r w:rsidR="00350F3A">
        <w:rPr>
          <w:rFonts w:cs="Arial"/>
        </w:rPr>
        <w:t xml:space="preserve"> </w:t>
      </w:r>
      <w:r w:rsidRPr="00350F3A">
        <w:rPr>
          <w:rFonts w:cs="Arial"/>
        </w:rPr>
        <w:t>recover these costs as an indication of value for money.</w:t>
      </w:r>
      <w:r w:rsidR="00CC54B4" w:rsidRPr="00350F3A">
        <w:rPr>
          <w:rFonts w:cs="Arial"/>
        </w:rPr>
        <w:t xml:space="preserve"> </w:t>
      </w:r>
      <w:r w:rsidR="00350F3A">
        <w:rPr>
          <w:rFonts w:cs="Arial"/>
        </w:rPr>
        <w:t xml:space="preserve">The </w:t>
      </w:r>
      <w:r w:rsidR="00F07FC9">
        <w:rPr>
          <w:rFonts w:cs="Arial"/>
        </w:rPr>
        <w:t>T</w:t>
      </w:r>
      <w:r w:rsidR="00350F3A">
        <w:rPr>
          <w:rFonts w:cs="Arial"/>
        </w:rPr>
        <w:t>eam were able to achieve this objective in the first month of the financial year.</w:t>
      </w:r>
    </w:p>
    <w:p w:rsidR="00324DA2" w:rsidRDefault="00324DA2">
      <w:pPr>
        <w:rPr>
          <w:rFonts w:cs="Arial"/>
          <w:b/>
        </w:rPr>
      </w:pPr>
    </w:p>
    <w:p w:rsidR="00CC54B4" w:rsidRDefault="00115173">
      <w:pPr>
        <w:rPr>
          <w:rFonts w:cs="Arial"/>
          <w:b/>
        </w:rPr>
      </w:pPr>
      <w:r>
        <w:rPr>
          <w:rFonts w:cs="Arial"/>
          <w:b/>
        </w:rPr>
        <w:t xml:space="preserve">      </w:t>
      </w:r>
      <w:r w:rsidR="00CC54B4">
        <w:rPr>
          <w:rFonts w:cs="Arial"/>
          <w:b/>
        </w:rPr>
        <w:t>Risk Implications</w:t>
      </w:r>
    </w:p>
    <w:p w:rsidR="00302A89" w:rsidRDefault="00302A89">
      <w:pPr>
        <w:rPr>
          <w:rFonts w:cs="Arial"/>
          <w:b/>
        </w:rPr>
      </w:pPr>
    </w:p>
    <w:p w:rsidR="00CC54B4" w:rsidRPr="00B65FC8" w:rsidRDefault="00CC54B4" w:rsidP="00E35866">
      <w:pPr>
        <w:pStyle w:val="ListParagraph"/>
        <w:numPr>
          <w:ilvl w:val="0"/>
          <w:numId w:val="2"/>
        </w:numPr>
        <w:rPr>
          <w:rFonts w:cs="Arial"/>
        </w:rPr>
      </w:pPr>
      <w:r w:rsidRPr="00B65FC8">
        <w:rPr>
          <w:rFonts w:cs="Arial"/>
        </w:rPr>
        <w:t xml:space="preserve">The risk of </w:t>
      </w:r>
      <w:r w:rsidR="00A53031" w:rsidRPr="00B65FC8">
        <w:rPr>
          <w:rFonts w:cs="Arial"/>
        </w:rPr>
        <w:t xml:space="preserve">fraud both from within the Councils business and impacting on the Councils business may be significant. The maintaining of a fraud investigation resource will act as a deterrent to fraudulent activity and the saving; both cashable and non-cashable </w:t>
      </w:r>
      <w:r w:rsidR="00350F3A">
        <w:rPr>
          <w:rFonts w:cs="Arial"/>
        </w:rPr>
        <w:t xml:space="preserve">has already </w:t>
      </w:r>
      <w:r w:rsidR="00A53031" w:rsidRPr="00B65FC8">
        <w:rPr>
          <w:rFonts w:cs="Arial"/>
        </w:rPr>
        <w:t>more than offset the cost of running the Investigating Team</w:t>
      </w:r>
      <w:r w:rsidR="00350F3A">
        <w:rPr>
          <w:rFonts w:cs="Arial"/>
        </w:rPr>
        <w:t>.</w:t>
      </w:r>
    </w:p>
    <w:p w:rsidR="00694F2E" w:rsidRDefault="00694F2E">
      <w:pPr>
        <w:rPr>
          <w:rFonts w:cs="Arial"/>
          <w:b/>
        </w:rPr>
      </w:pPr>
    </w:p>
    <w:p w:rsidR="007B6E54" w:rsidRDefault="00115173">
      <w:pPr>
        <w:rPr>
          <w:rFonts w:cs="Arial"/>
          <w:b/>
        </w:rPr>
      </w:pPr>
      <w:r>
        <w:rPr>
          <w:rFonts w:cs="Arial"/>
          <w:b/>
        </w:rPr>
        <w:t xml:space="preserve">      </w:t>
      </w:r>
      <w:r w:rsidR="007B6E54">
        <w:rPr>
          <w:rFonts w:cs="Arial"/>
          <w:b/>
        </w:rPr>
        <w:t>Environmental Impact</w:t>
      </w:r>
    </w:p>
    <w:p w:rsidR="007B6E54" w:rsidRDefault="007B6E54">
      <w:pPr>
        <w:rPr>
          <w:rFonts w:cs="Arial"/>
          <w:b/>
        </w:rPr>
      </w:pPr>
    </w:p>
    <w:p w:rsidR="007B6E54" w:rsidRDefault="0093585C" w:rsidP="00E35866">
      <w:pPr>
        <w:pStyle w:val="ListParagraph"/>
        <w:numPr>
          <w:ilvl w:val="0"/>
          <w:numId w:val="2"/>
        </w:numPr>
        <w:rPr>
          <w:rFonts w:cs="Arial"/>
        </w:rPr>
      </w:pPr>
      <w:r w:rsidRPr="00B65FC8">
        <w:rPr>
          <w:rFonts w:cs="Arial"/>
        </w:rPr>
        <w:t xml:space="preserve">The majority of visits undertaken by staff </w:t>
      </w:r>
      <w:r w:rsidR="00F07FC9">
        <w:rPr>
          <w:rFonts w:cs="Arial"/>
        </w:rPr>
        <w:t>i</w:t>
      </w:r>
      <w:r w:rsidRPr="00B65FC8">
        <w:rPr>
          <w:rFonts w:cs="Arial"/>
        </w:rPr>
        <w:t xml:space="preserve">n the </w:t>
      </w:r>
      <w:r w:rsidR="00F07FC9">
        <w:rPr>
          <w:rFonts w:cs="Arial"/>
        </w:rPr>
        <w:t>T</w:t>
      </w:r>
      <w:r w:rsidRPr="00B65FC8">
        <w:rPr>
          <w:rFonts w:cs="Arial"/>
        </w:rPr>
        <w:t xml:space="preserve">eam are done using the Council pool vehicles. All staff are </w:t>
      </w:r>
      <w:r w:rsidR="00106937">
        <w:rPr>
          <w:rFonts w:cs="Arial"/>
        </w:rPr>
        <w:t xml:space="preserve">conscious of the environmental implications of service delivery and will always seek the lowest impact route where possible. </w:t>
      </w:r>
    </w:p>
    <w:p w:rsidR="00E35866" w:rsidRDefault="00E35866" w:rsidP="00E35866">
      <w:pPr>
        <w:rPr>
          <w:rFonts w:cs="Arial"/>
        </w:rPr>
      </w:pP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810" w:rsidRDefault="00B17810">
      <w:r>
        <w:separator/>
      </w:r>
    </w:p>
  </w:endnote>
  <w:endnote w:type="continuationSeparator" w:id="0">
    <w:p w:rsidR="00B17810" w:rsidRDefault="00B1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810" w:rsidRDefault="00B17810">
      <w:r>
        <w:separator/>
      </w:r>
    </w:p>
  </w:footnote>
  <w:footnote w:type="continuationSeparator" w:id="0">
    <w:p w:rsidR="00B17810" w:rsidRDefault="00B1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DD98897E"/>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BD0744"/>
    <w:multiLevelType w:val="hybridMultilevel"/>
    <w:tmpl w:val="C1428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8">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0"/>
  </w:num>
  <w:num w:numId="5">
    <w:abstractNumId w:val="18"/>
  </w:num>
  <w:num w:numId="6">
    <w:abstractNumId w:val="16"/>
  </w:num>
  <w:num w:numId="7">
    <w:abstractNumId w:val="9"/>
  </w:num>
  <w:num w:numId="8">
    <w:abstractNumId w:val="7"/>
  </w:num>
  <w:num w:numId="9">
    <w:abstractNumId w:val="11"/>
  </w:num>
  <w:num w:numId="10">
    <w:abstractNumId w:val="6"/>
  </w:num>
  <w:num w:numId="11">
    <w:abstractNumId w:val="5"/>
  </w:num>
  <w:num w:numId="12">
    <w:abstractNumId w:val="4"/>
  </w:num>
  <w:num w:numId="13">
    <w:abstractNumId w:val="14"/>
  </w:num>
  <w:num w:numId="14">
    <w:abstractNumId w:val="3"/>
  </w:num>
  <w:num w:numId="15">
    <w:abstractNumId w:val="1"/>
  </w:num>
  <w:num w:numId="16">
    <w:abstractNumId w:val="2"/>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6D48"/>
    <w:rsid w:val="000131A8"/>
    <w:rsid w:val="00016121"/>
    <w:rsid w:val="000168F7"/>
    <w:rsid w:val="00026745"/>
    <w:rsid w:val="00030F54"/>
    <w:rsid w:val="00036F46"/>
    <w:rsid w:val="00054FBB"/>
    <w:rsid w:val="00056263"/>
    <w:rsid w:val="00061BBD"/>
    <w:rsid w:val="00083DAF"/>
    <w:rsid w:val="000952CD"/>
    <w:rsid w:val="000B234E"/>
    <w:rsid w:val="000B353D"/>
    <w:rsid w:val="000B6D93"/>
    <w:rsid w:val="000C3928"/>
    <w:rsid w:val="000D4BAE"/>
    <w:rsid w:val="000E3A8A"/>
    <w:rsid w:val="000F6C67"/>
    <w:rsid w:val="001046A6"/>
    <w:rsid w:val="00106937"/>
    <w:rsid w:val="00115173"/>
    <w:rsid w:val="00123F3B"/>
    <w:rsid w:val="001309C9"/>
    <w:rsid w:val="0013241E"/>
    <w:rsid w:val="00140080"/>
    <w:rsid w:val="001660D3"/>
    <w:rsid w:val="0017091A"/>
    <w:rsid w:val="00173F5F"/>
    <w:rsid w:val="001850B6"/>
    <w:rsid w:val="001878F4"/>
    <w:rsid w:val="001974C0"/>
    <w:rsid w:val="001B2B99"/>
    <w:rsid w:val="001E6847"/>
    <w:rsid w:val="00225E90"/>
    <w:rsid w:val="00235785"/>
    <w:rsid w:val="002513A0"/>
    <w:rsid w:val="002617EF"/>
    <w:rsid w:val="00262002"/>
    <w:rsid w:val="00274BC1"/>
    <w:rsid w:val="0027761A"/>
    <w:rsid w:val="00283DE0"/>
    <w:rsid w:val="00297E04"/>
    <w:rsid w:val="002A48DC"/>
    <w:rsid w:val="002E0FC4"/>
    <w:rsid w:val="00302A89"/>
    <w:rsid w:val="00324DA2"/>
    <w:rsid w:val="00350F3A"/>
    <w:rsid w:val="00364C98"/>
    <w:rsid w:val="00365ADB"/>
    <w:rsid w:val="003D2C71"/>
    <w:rsid w:val="003D7522"/>
    <w:rsid w:val="0040038D"/>
    <w:rsid w:val="00410548"/>
    <w:rsid w:val="00447892"/>
    <w:rsid w:val="00465EAF"/>
    <w:rsid w:val="00486F1C"/>
    <w:rsid w:val="004870FB"/>
    <w:rsid w:val="00491015"/>
    <w:rsid w:val="00492497"/>
    <w:rsid w:val="00495B9F"/>
    <w:rsid w:val="004A155C"/>
    <w:rsid w:val="004A414B"/>
    <w:rsid w:val="004A77C5"/>
    <w:rsid w:val="004B20D8"/>
    <w:rsid w:val="004B33E2"/>
    <w:rsid w:val="004C5B6A"/>
    <w:rsid w:val="004C71E8"/>
    <w:rsid w:val="00514C63"/>
    <w:rsid w:val="00520D61"/>
    <w:rsid w:val="0052634D"/>
    <w:rsid w:val="005339D9"/>
    <w:rsid w:val="005512A2"/>
    <w:rsid w:val="0056670B"/>
    <w:rsid w:val="00573FF8"/>
    <w:rsid w:val="0058170A"/>
    <w:rsid w:val="00582513"/>
    <w:rsid w:val="005B678B"/>
    <w:rsid w:val="005C2014"/>
    <w:rsid w:val="005F7ECB"/>
    <w:rsid w:val="006109E8"/>
    <w:rsid w:val="00617287"/>
    <w:rsid w:val="00623C2F"/>
    <w:rsid w:val="00647D15"/>
    <w:rsid w:val="00654D52"/>
    <w:rsid w:val="00694F2E"/>
    <w:rsid w:val="006E3B55"/>
    <w:rsid w:val="006F416B"/>
    <w:rsid w:val="007116E7"/>
    <w:rsid w:val="00713675"/>
    <w:rsid w:val="00733FED"/>
    <w:rsid w:val="00744526"/>
    <w:rsid w:val="0075252D"/>
    <w:rsid w:val="00753DFC"/>
    <w:rsid w:val="007665E5"/>
    <w:rsid w:val="0078570D"/>
    <w:rsid w:val="007B6E54"/>
    <w:rsid w:val="007B7D9D"/>
    <w:rsid w:val="007D3155"/>
    <w:rsid w:val="007D5FAC"/>
    <w:rsid w:val="0080046D"/>
    <w:rsid w:val="0081180D"/>
    <w:rsid w:val="00832739"/>
    <w:rsid w:val="0084231F"/>
    <w:rsid w:val="00855C66"/>
    <w:rsid w:val="008602E6"/>
    <w:rsid w:val="00862AB0"/>
    <w:rsid w:val="008A548A"/>
    <w:rsid w:val="008D3DDB"/>
    <w:rsid w:val="008E422A"/>
    <w:rsid w:val="009140B9"/>
    <w:rsid w:val="00933AA6"/>
    <w:rsid w:val="0093585C"/>
    <w:rsid w:val="00937057"/>
    <w:rsid w:val="00947567"/>
    <w:rsid w:val="00955477"/>
    <w:rsid w:val="00971689"/>
    <w:rsid w:val="00973E90"/>
    <w:rsid w:val="00992822"/>
    <w:rsid w:val="009A109A"/>
    <w:rsid w:val="009A5555"/>
    <w:rsid w:val="00A1002B"/>
    <w:rsid w:val="00A26F27"/>
    <w:rsid w:val="00A314C9"/>
    <w:rsid w:val="00A35036"/>
    <w:rsid w:val="00A512E5"/>
    <w:rsid w:val="00A53031"/>
    <w:rsid w:val="00A63D9D"/>
    <w:rsid w:val="00A664AE"/>
    <w:rsid w:val="00A7547B"/>
    <w:rsid w:val="00A92D8F"/>
    <w:rsid w:val="00A977D4"/>
    <w:rsid w:val="00AA3834"/>
    <w:rsid w:val="00AB4D1C"/>
    <w:rsid w:val="00AC5264"/>
    <w:rsid w:val="00AD3292"/>
    <w:rsid w:val="00AD7E29"/>
    <w:rsid w:val="00AE5AB8"/>
    <w:rsid w:val="00AF136A"/>
    <w:rsid w:val="00AF557C"/>
    <w:rsid w:val="00B17810"/>
    <w:rsid w:val="00B34927"/>
    <w:rsid w:val="00B47F0E"/>
    <w:rsid w:val="00B54CB7"/>
    <w:rsid w:val="00B65022"/>
    <w:rsid w:val="00B65FC8"/>
    <w:rsid w:val="00B66F39"/>
    <w:rsid w:val="00B72E63"/>
    <w:rsid w:val="00BA4032"/>
    <w:rsid w:val="00BC7BE2"/>
    <w:rsid w:val="00BE3490"/>
    <w:rsid w:val="00BE4419"/>
    <w:rsid w:val="00BE7F05"/>
    <w:rsid w:val="00BF6592"/>
    <w:rsid w:val="00C10750"/>
    <w:rsid w:val="00C116C5"/>
    <w:rsid w:val="00C129E2"/>
    <w:rsid w:val="00C17C81"/>
    <w:rsid w:val="00C2692F"/>
    <w:rsid w:val="00C309D1"/>
    <w:rsid w:val="00C334BE"/>
    <w:rsid w:val="00C3462F"/>
    <w:rsid w:val="00C3490B"/>
    <w:rsid w:val="00C45EEB"/>
    <w:rsid w:val="00C61E57"/>
    <w:rsid w:val="00CC3662"/>
    <w:rsid w:val="00CC54B4"/>
    <w:rsid w:val="00CF5527"/>
    <w:rsid w:val="00D00019"/>
    <w:rsid w:val="00D0050D"/>
    <w:rsid w:val="00D01BD2"/>
    <w:rsid w:val="00D122C6"/>
    <w:rsid w:val="00D14E57"/>
    <w:rsid w:val="00D171E2"/>
    <w:rsid w:val="00D52070"/>
    <w:rsid w:val="00D567E2"/>
    <w:rsid w:val="00D71587"/>
    <w:rsid w:val="00D7284F"/>
    <w:rsid w:val="00DA1441"/>
    <w:rsid w:val="00DD3A1F"/>
    <w:rsid w:val="00DD3D8A"/>
    <w:rsid w:val="00DE5B61"/>
    <w:rsid w:val="00DE6CBD"/>
    <w:rsid w:val="00DE79DF"/>
    <w:rsid w:val="00DF7B52"/>
    <w:rsid w:val="00E01F42"/>
    <w:rsid w:val="00E26E93"/>
    <w:rsid w:val="00E35866"/>
    <w:rsid w:val="00E55FA1"/>
    <w:rsid w:val="00E67085"/>
    <w:rsid w:val="00E87C12"/>
    <w:rsid w:val="00E92623"/>
    <w:rsid w:val="00E96638"/>
    <w:rsid w:val="00EA0DB1"/>
    <w:rsid w:val="00EA2FDD"/>
    <w:rsid w:val="00EC5892"/>
    <w:rsid w:val="00EC6A09"/>
    <w:rsid w:val="00ED1932"/>
    <w:rsid w:val="00EE2E31"/>
    <w:rsid w:val="00EE4D96"/>
    <w:rsid w:val="00EE6A04"/>
    <w:rsid w:val="00EF0FF2"/>
    <w:rsid w:val="00F07FC9"/>
    <w:rsid w:val="00F4367A"/>
    <w:rsid w:val="00F64311"/>
    <w:rsid w:val="00F65852"/>
    <w:rsid w:val="00F7606D"/>
    <w:rsid w:val="00FA624C"/>
    <w:rsid w:val="00FD34CA"/>
    <w:rsid w:val="00FE3DC7"/>
    <w:rsid w:val="00FE5E85"/>
    <w:rsid w:val="00FE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F2EB-DB5D-4011-A619-09FFA733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63CB78F</Template>
  <TotalTime>140</TotalTime>
  <Pages>5</Pages>
  <Words>1130</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 - Oxford City Council</cp:lastModifiedBy>
  <cp:revision>3</cp:revision>
  <cp:lastPrinted>2015-06-16T14:48:00Z</cp:lastPrinted>
  <dcterms:created xsi:type="dcterms:W3CDTF">2015-06-16T17:08:00Z</dcterms:created>
  <dcterms:modified xsi:type="dcterms:W3CDTF">2015-06-19T12:06:00Z</dcterms:modified>
</cp:coreProperties>
</file>